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3970519" w:name="document"/>
    <w:bookmarkEnd w:id="13970519"/>
    <w:p/>
    <w:p>
      <w:pPr>
        <w:widowControl w:val="on"/>
        <w:pBdr/>
        <w:spacing w:before="0" w:after="280" w:line="240" w:lineRule="auto"/>
        <w:ind w:left="0" w:right="0"/>
        <w:jc w:val="left"/>
      </w:pPr>
      <w:r>
        <w:rPr>
          <w:rFonts w:ascii="Arial" w:hAnsi="Arial" w:eastAsia="Arial" w:cs="Arial"/>
          <w:color w:val="363A40"/>
          <w:sz w:val="24"/>
          <w:szCs w:val="24"/>
        </w:rPr>
        <w:t xml:space="preserve">Dokument-ID: 1183894 | Magdalena Ferner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Ausstellung eines Dienstzeugnisses</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Gem § 39 AngG bzw § 1163 ABGB hat der Arbeitgeber einem
Arbeitnehmer bei Beendigung des Dienstverhältnisses auf Verlangen
ein Dienstzeugnis auszustellen, welches Informationen zur Dauer und
Art der Dienstleistung enthält. Eintragungen und Anmerkungen im
Zeugnis, durch die dem Arbeitnehmer die Erlangung einer neuen
Stelle erschwert wird, sind unzulässig. Das nachstehende Muster
stellt eine Vorlage für eine Klage auf Ausstellung eines
Dienstzeugnisses dar.</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Magdalena
Ferner</w:t>
      </w:r>
      <w:r>
        <w:rPr>
          <w:rFonts w:ascii="Arial" w:hAnsi="Arial" w:eastAsia="Arial" w:cs="Arial"/>
          <w:color w:val="000000"/>
          <w:sz w:val="20"/>
          <w:szCs w:val="20"/>
        </w:rPr>
        <w:br/>
        <w:t xml:space="preserve">Hernalser Hauptstraße 35/14 + 15</w:t>
      </w:r>
      <w:r>
        <w:rPr>
          <w:rFonts w:ascii="Arial" w:hAnsi="Arial" w:eastAsia="Arial" w:cs="Arial"/>
          <w:color w:val="000000"/>
          <w:sz w:val="20"/>
          <w:szCs w:val="20"/>
        </w:rPr>
        <w:br/>
        <w:t xml:space="preserve">1170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Arbeits- und Sozialgericht Wien</w:t>
      </w:r>
      <w:r>
        <w:rPr>
          <w:rFonts w:ascii="Arial" w:hAnsi="Arial" w:eastAsia="Arial" w:cs="Arial"/>
          <w:color w:val="000000"/>
          <w:sz w:val="20"/>
          <w:szCs w:val="20"/>
        </w:rPr>
        <w:br/>
        <w:t xml:space="preserve">Althanstraße 39–45</w:t>
      </w:r>
      <w:r>
        <w:rPr>
          <w:rFonts w:ascii="Arial" w:hAnsi="Arial" w:eastAsia="Arial" w:cs="Arial"/>
          <w:color w:val="000000"/>
          <w:sz w:val="20"/>
          <w:szCs w:val="20"/>
        </w:rPr>
        <w:br/>
        <w:t xml:space="preserve">1090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31.01.2023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Kurt Genau, Angestellter</w:t>
            </w:r>
            <w:r>
              <w:rPr>
                <w:rFonts w:ascii="Arial" w:hAnsi="Arial" w:eastAsia="Arial" w:cs="Arial"/>
                <w:color w:val="000000"/>
                <w:position w:val="0"/>
                <w:sz w:val="20"/>
                <w:szCs w:val="20"/>
                <w:shd w:val="clear" w:color="auto" w:fill="FFFFFF"/>
              </w:rPr>
              <w:br/>
              <w:t xml:space="preserve">Favoritenstraße 2</w:t>
            </w:r>
            <w:r>
              <w:rPr>
                <w:rFonts w:ascii="Arial" w:hAnsi="Arial" w:eastAsia="Arial" w:cs="Arial"/>
                <w:color w:val="000000"/>
                <w:position w:val="0"/>
                <w:sz w:val="20"/>
                <w:szCs w:val="20"/>
                <w:shd w:val="clear" w:color="auto" w:fill="FFFFFF"/>
              </w:rPr>
              <w:br/>
              <w:t xml:space="preserve">1040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Mag. Magdalena Ferner</w:t>
            </w:r>
            <w:r>
              <w:rPr>
                <w:rFonts w:ascii="Arial" w:hAnsi="Arial" w:eastAsia="Arial" w:cs="Arial"/>
                <w:color w:val="000000"/>
                <w:position w:val="0"/>
                <w:sz w:val="20"/>
                <w:szCs w:val="20"/>
                <w:shd w:val="clear" w:color="auto" w:fill="FFFFFF"/>
              </w:rPr>
              <w:br/>
              <w:t xml:space="preserve">Hernalser Hauptstraße 35/14 + 15</w:t>
            </w:r>
            <w:r>
              <w:rPr>
                <w:rFonts w:ascii="Arial" w:hAnsi="Arial" w:eastAsia="Arial" w:cs="Arial"/>
                <w:color w:val="000000"/>
                <w:position w:val="0"/>
                <w:sz w:val="20"/>
                <w:szCs w:val="20"/>
                <w:shd w:val="clear" w:color="auto" w:fill="FFFFFF"/>
              </w:rPr>
              <w:br/>
              <w:t xml:space="preserve">1170 Wien</w:t>
            </w:r>
            <w:r>
              <w:rPr>
                <w:rFonts w:ascii="Arial" w:hAnsi="Arial" w:eastAsia="Arial" w:cs="Arial"/>
                <w:color w:val="000000"/>
                <w:position w:val="0"/>
                <w:sz w:val="20"/>
                <w:szCs w:val="20"/>
                <w:shd w:val="clear" w:color="auto" w:fill="FFFFFF"/>
              </w:rPr>
              <w:br/>
              <w:t xml:space="preserve">ADVM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Herbert Stark GmbH</w:t>
            </w:r>
            <w:r>
              <w:rPr>
                <w:rFonts w:ascii="Arial" w:hAnsi="Arial" w:eastAsia="Arial" w:cs="Arial"/>
                <w:color w:val="000000"/>
                <w:position w:val="0"/>
                <w:sz w:val="20"/>
                <w:szCs w:val="20"/>
                <w:shd w:val="clear" w:color="auto" w:fill="FFFFFF"/>
              </w:rPr>
              <w:br/>
              <w:t xml:space="preserve">Meidlinger Hauptstraße 12</w:t>
            </w:r>
            <w:r>
              <w:rPr>
                <w:rFonts w:ascii="Arial" w:hAnsi="Arial" w:eastAsia="Arial" w:cs="Arial"/>
                <w:color w:val="000000"/>
                <w:position w:val="0"/>
                <w:sz w:val="20"/>
                <w:szCs w:val="20"/>
                <w:shd w:val="clear" w:color="auto" w:fill="FFFFFF"/>
              </w:rPr>
              <w:br/>
              <w:t xml:space="preserve">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Ausstellung eines Dienstzeugnisses</w:t>
            </w:r>
            <w:r>
              <w:rPr>
                <w:rFonts w:ascii="Arial" w:hAnsi="Arial" w:eastAsia="Arial" w:cs="Arial"/>
                <w:color w:val="000000"/>
                <w:position w:val="0"/>
                <w:sz w:val="20"/>
                <w:szCs w:val="20"/>
                <w:shd w:val="clear" w:color="auto" w:fill="FFFFFF"/>
              </w:rPr>
              <w:br/>
              <w:t xml:space="preserve">(Bewertung nach GGG: EUR 750,–</w:t>
            </w:r>
            <w:r>
              <w:rPr>
                <w:rFonts w:ascii="Arial" w:hAnsi="Arial" w:eastAsia="Arial" w:cs="Arial"/>
                <w:color w:val="000000"/>
                <w:position w:val="0"/>
                <w:sz w:val="20"/>
                <w:szCs w:val="20"/>
                <w:shd w:val="clear" w:color="auto" w:fill="FFFFFF"/>
              </w:rPr>
              <w:br/>
              <w:t xml:space="preserve">Bewertung nach RATG/JN: EUR 2.000,–)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2 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Rechtssache hat der Kläger RA Mag.
Magdalena Ferner mit seiner Vertretung beauftragt. Durch seine
ausgewiesene Vertreterin erhebt er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an das Arbeits- und Sozialgericht Wien:</w:t>
      </w:r>
    </w:p>
    <w:p>
      <w:pPr>
        <w:widowControl w:val="on"/>
        <w:pBdr/>
        <w:spacing w:before="140" w:after="240" w:line="288" w:lineRule="auto"/>
        <w:ind w:left="0" w:right="0"/>
        <w:jc w:val="left"/>
      </w:pPr>
      <w:r>
        <w:rPr>
          <w:rFonts w:ascii="Arial" w:hAnsi="Arial" w:eastAsia="Arial" w:cs="Arial"/>
          <w:color w:val="000000"/>
          <w:sz w:val="20"/>
          <w:szCs w:val="20"/>
        </w:rPr>
        <w:t xml:space="preserve">Der Kläger war von 01.10.2018 bis 31.12.2022 bei der beklagten
Partei als Sekretär des Niederlassungsleiters mit
eigenverantwortlicher Entscheidungsbefugnis Vollzeit beschäftigt.
Auf das Dienstverhältnis ist der Kollektivvertrag für Angestellte
in Handelsbetrieben anwendbar. Das Dienstverhältnis endete durch
einvernehmliche Auflösung.</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hatte bei der beklagten Partei folgende Aufgaben
inne:</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Bearbeitung der Post</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Ablage und Wiedervorlage von Akten</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Führung der Korrespondenz in deutscher, englischer und
französischer Sprache</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Abfassen von Briefen und Berichten</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Abwicklung des Telefonverkehrs</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Erstellen der Abrechnungen</w:t>
      </w:r>
    </w:p>
    <w:p>
      <w:pPr>
        <w:numPr>
          <w:ilvl w:val="0"/>
          <w:numId w:val="4610901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Vorbereitung und Organisation von Konferenzen, Besprechungen,
Meetings und Dienstreisen</w:t>
      </w:r>
    </w:p>
    <w:p>
      <w:pPr>
        <w:widowControl w:val="on"/>
        <w:pBdr/>
        <w:spacing w:before="140" w:after="240" w:line="288" w:lineRule="auto"/>
        <w:ind w:left="0" w:right="0"/>
        <w:jc w:val="left"/>
      </w:pPr>
      <w:r>
        <w:rPr>
          <w:rFonts w:ascii="Arial" w:hAnsi="Arial" w:eastAsia="Arial" w:cs="Arial"/>
          <w:color w:val="000000"/>
          <w:sz w:val="20"/>
          <w:szCs w:val="20"/>
        </w:rPr>
        <w:t xml:space="preserve">Nach Beendigung des Dienstverhältnisses forderte der Kläger die
beklagte Partei am 07.01.2023 zur Ausstellung eines
Dienstzeugnisses auf.</w:t>
      </w:r>
    </w:p>
    <w:p>
      <w:pPr>
        <w:widowControl w:val="on"/>
        <w:pBdr/>
        <w:spacing w:before="140" w:after="240" w:line="288" w:lineRule="auto"/>
        <w:ind w:left="0" w:right="0"/>
        <w:jc w:val="left"/>
      </w:pPr>
      <w:r>
        <w:rPr>
          <w:rFonts w:ascii="Arial" w:hAnsi="Arial" w:eastAsia="Arial" w:cs="Arial"/>
          <w:color w:val="000000"/>
          <w:sz w:val="20"/>
          <w:szCs w:val="20"/>
        </w:rPr>
        <w:t xml:space="preserve">Ihm wurde daraufhin am 15.01.2023 ein Dienstzeugnis übermittelt.
Dieses Dienstzeugnis enthielt jedoch mehrere Tippfehler und den
Satz, dass der Kläger „sich bemüht habe, die Aufgaben zur vollen
Zufriedenheit der beklagten Partei“ auszuführen. Überdies wurde im
Dienstzeugnis auf die Betriebsratstätigkeit des Klägers und die Art
der Lösung des Dienstverhältnisses hingewiesen.</w:t>
      </w:r>
    </w:p>
    <w:p>
      <w:pPr>
        <w:widowControl w:val="on"/>
        <w:pBdr/>
        <w:spacing w:before="140" w:after="240" w:line="288" w:lineRule="auto"/>
        <w:ind w:left="0" w:right="0"/>
        <w:jc w:val="left"/>
      </w:pPr>
      <w:r>
        <w:rPr>
          <w:rFonts w:ascii="Arial" w:hAnsi="Arial" w:eastAsia="Arial" w:cs="Arial"/>
          <w:color w:val="000000"/>
          <w:sz w:val="20"/>
          <w:szCs w:val="20"/>
        </w:rPr>
        <w:t xml:space="preserve">Der Kläger machte die beklagte Partei mit Schreiben vom
22.01.2023 darauf aufmerksam, dass das übermittelte Dienstzeugnis
aufgrund der oben beschriebenen Umstände gegen das gesetzliche
Erschwerungsverbot verstößt und geeignet ist, die Erlangung einer
neuen Arbeitsstelle zu erschweren. Er retournierte das mangelhafte
Dienstzeugnis an die beklagte Partei und ersuchte um Ausstellung
eines gesetzeskonformen Zeugnisses.</w:t>
      </w:r>
    </w:p>
    <w:p>
      <w:pPr>
        <w:widowControl w:val="on"/>
        <w:pBdr/>
        <w:spacing w:before="140" w:after="240" w:line="288" w:lineRule="auto"/>
        <w:ind w:left="0" w:right="0"/>
        <w:jc w:val="left"/>
      </w:pPr>
      <w:r>
        <w:rPr>
          <w:rFonts w:ascii="Arial" w:hAnsi="Arial" w:eastAsia="Arial" w:cs="Arial"/>
          <w:color w:val="000000"/>
          <w:sz w:val="20"/>
          <w:szCs w:val="20"/>
        </w:rPr>
        <w:t xml:space="preserve">Sein Schreiben blieb jedoch ohne Reaktion. Es wurde ihm bis dato
kein den gesetzlichen Anforderungen entsprechendes Dienstzeugnis
übermittelt. Er war daher zur Klagsführung gezwungen.</w:t>
      </w:r>
    </w:p>
    <w:p>
      <w:pPr>
        <w:widowControl w:val="on"/>
        <w:pBdr/>
        <w:spacing w:before="140" w:after="240" w:line="288" w:lineRule="auto"/>
        <w:ind w:left="0" w:right="0"/>
        <w:jc w:val="left"/>
      </w:pPr>
      <w:r>
        <w:rPr>
          <w:rFonts w:ascii="Arial" w:hAnsi="Arial" w:eastAsia="Arial" w:cs="Arial"/>
          <w:color w:val="000000"/>
          <w:sz w:val="20"/>
          <w:szCs w:val="20"/>
        </w:rPr>
        <w:t xml:space="preserve">Das Interesse auf Ausstellung des Dienstzeugnisses wird gem
§ 56 JN mit EUR 2.000,– bewertet.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Dienstzeugnis vom 15.01.2023, Beilage ./A</w:t>
            </w:r>
            <w:r>
              <w:rPr>
                <w:rFonts w:ascii="Arial" w:hAnsi="Arial" w:eastAsia="Arial" w:cs="Arial"/>
                <w:color w:val="000000"/>
                <w:position w:val="0"/>
                <w:sz w:val="20"/>
                <w:szCs w:val="20"/>
                <w:shd w:val="clear" w:color="auto" w:fill="FFFFFF"/>
              </w:rPr>
              <w:br/>
              <w:t xml:space="preserve">Schreiben des Klägers vom 22.01.2023, Beilage ./B</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Kläger beantragt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dem Kläger binnen 14 Tagen
bei sonstiger Exekution ein Dienstzeugnis nachstehendes Inhaltes zu
übermitteln:</w:t>
      </w:r>
      <w:r>
        <w:rPr>
          <w:rFonts w:ascii="Arial" w:hAnsi="Arial" w:eastAsia="Arial" w:cs="Arial"/>
          <w:color w:val="000000"/>
          <w:sz w:val="20"/>
          <w:szCs w:val="20"/>
        </w:rPr>
        <w:br/>
        <w:t xml:space="preserve">„Herr Kurt Genau, wohnhaft in 1040 Wien, Favoritenstraße 2, war von
01.10.2018 bis 31.12.2022 bei der Herbert Stark GmbH als Sekretär
des Niederlassungsleiters mit eigenverantwortlicher
Entscheidungsbefugnis tätig. Er hatte folgende Aufgaben inne:
</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Bearbeitung der Post</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Ablage und Wiedervorlage von Akten</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Führung der Korrespondenz in deutscher, englischer und
französischer Sprache</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Abfassen von Briefen und Berichten</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Abwicklung des Telefonverkehrs</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Erstellen der Abrechnungen</w:t>
      </w:r>
    </w:p>
    <w:p>
      <w:pPr>
        <w:numPr>
          <w:ilvl w:val="1"/>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Vorbereitung und Organisation von Konferenzen, Besprechungen,
Meetings und Dienstreisen“</w:t>
      </w:r>
    </w:p>
    <w:p>
      <w:pPr>
        <w:numPr>
          <w:ilvl w:val="0"/>
          <w:numId w:val="679523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weiters schuldig, dem Kläger die Kosten
des Verfahrens binnen 14 Tagen bei sonstiger Exekution gem
§ 19a RAO zu Handen der Klagevertreterin zu ersetzen.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Kurt Genau</w:t>
      </w:r>
    </w:p>
    <w:p>
      <w:pPr>
        <w:widowControl w:val="on"/>
        <w:pBdr/>
        <w:spacing w:before="140" w:after="240" w:line="288" w:lineRule="auto"/>
        <w:ind w:left="0" w:right="0"/>
        <w:jc w:val="left"/>
      </w:pPr>
      <w:r>
        <w:rPr>
          <w:rFonts w:ascii="Arial" w:hAnsi="Arial" w:eastAsia="Arial" w:cs="Arial"/>
          <w:b/>
          <w:bCs/>
          <w:color w:val="000000"/>
          <w:sz w:val="20"/>
          <w:szCs w:val="20"/>
        </w:rPr>
        <w:t xml:space="preserve">Kostenverzeichnis:</w:t>
      </w:r>
      <w:r>
        <w:rPr>
          <w:rFonts w:ascii="Arial" w:hAnsi="Arial" w:eastAsia="Arial" w:cs="Arial"/>
          <w:color w:val="000000"/>
          <w:sz w:val="20"/>
          <w:szCs w:val="20"/>
        </w:rPr>
        <w:br/>
        <w:t xml:space="preserve">TP 3A</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Das Recht auf Ausstellung eines Dienstzeugnisses ist mit Klage gem
§ 50 Abs 1 ASGG geltend zu machen. § 3 ASGG sieht
eine ausschließliche Zuständigkeit der Landesgerichte als Arbeits-
und Sozialgerichte vor. Für den Gerichtssprengel Wien ist das
Arbeits- und Sozialgericht Wien ausschließlich zuständig. Zu
berücksichtigen sind die in § 4 ASGG genannten
Wahlgerichtsstände sowie die Tatsache, dass § 9 ASGG die
Möglichkeit von Zuständigkeits- und Schiedsgerichtsvereinbarungen
erheblich einschränkt.</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Der Anspruch auf Dienstzeugnis verjährt gem § 1478 ABGB erst
nach 30 Jahren (OGH 8.3.2001, 8 ObA 217/00w). Allerdings sehen
einige Kollektivverträge kürzere Verfallsfristen vor, die zu
berücksichtigen sind.</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Klagen auf Ausstellung eines Dienstzeugnisses sind nicht auf Geld
gerichtete Begehren. Die Bemessungsgrundlage für die
Gerichtsgebühren beträgt daher gem § 16 Abs 1 lit a
GGG EUR 750,–. Dies führt dazu, dass das Verfahren in allen
Instanzen gebührenfrei ist, da es sich um eine arbeitsrechtliche
Streitigkeit handelt und der Streitwert unter EUR 2.500,–
liegt (vgl § 32 GGG; Anm 8 TP 1, Anm 5 TP 2, Anm 5 TP 3). Im
gegenständlichen Fall wurde der Streitwert gem § 56 Abs 2
JN mit EUR 2.000,– bewertet. Hätte der Kläger eine Bewertung
in der Klage unterlassen, wären als Zweifelsstreitwert
EUR 5.000,– zur Anwendung gekommen.</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Findet der Beklagte die Bewertung des Streitgegenstandes nach
§ 56 Abs 2 JN durch den Kläger zu hoch oder zu niedrig,
so kann er gem § 7 RAO spätestens bei der ersten zur
mündlichen Streitverhandlung bestimmten Tagsatzung die Bewertung
bemängeln.</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Das Dienstzeugnis ist einem Arbeitnehmer nur auf Verlangen
auszufolgen. Der Arbeitgeber hat diesem Ersuchen unverzüglich
nachzukommen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Neumayr/Reissner</w:t>
      </w:r>
      <w:r>
        <w:rPr>
          <w:rFonts w:ascii="Arial" w:hAnsi="Arial" w:eastAsia="Arial" w:cs="Arial"/>
          <w:color w:val="000000"/>
          <w:sz w:val="20"/>
          <w:szCs w:val="20"/>
        </w:rPr>
        <w:t xml:space="preserve">,
</w:t>
      </w:r>
      <w:r>
        <w:rPr>
          <w:rFonts w:ascii="Arial" w:hAnsi="Arial" w:eastAsia="Arial" w:cs="Arial"/>
          <w:i/>
          <w:iCs/>
          <w:color w:val="000000"/>
          <w:sz w:val="20"/>
          <w:szCs w:val="20"/>
        </w:rPr>
        <w:t xml:space="preserve">Zeller</w:t>
      </w:r>
      <w:r>
        <w:rPr>
          <w:rFonts w:ascii="Arial" w:hAnsi="Arial" w:eastAsia="Arial" w:cs="Arial"/>
          <w:color w:val="000000"/>
          <w:sz w:val="20"/>
          <w:szCs w:val="20"/>
        </w:rPr>
        <w:t xml:space="preserve">, Kommentar zum Arbeitsrecht [2006], Rz 14 zu
§ 39 AngG,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15 zu § 39).</w:t>
      </w:r>
    </w:p>
    <w:p>
      <w:pPr>
        <w:widowControl w:val="on"/>
        <w:pBdr/>
        <w:spacing w:before="140" w:after="240" w:line="288" w:lineRule="auto"/>
        <w:ind w:left="0" w:right="0"/>
        <w:jc w:val="left"/>
      </w:pPr>
      <w:r>
        <w:rPr>
          <w:rFonts w:ascii="Arial" w:hAnsi="Arial" w:eastAsia="Arial" w:cs="Arial"/>
          <w:color w:val="000000"/>
          <w:sz w:val="20"/>
          <w:szCs w:val="20"/>
        </w:rPr>
        <w:t xml:space="preserve">Das Verlangen des Arbeitnehmers kann ausdrücklich oder schlüssig
erfolgen. Eine bestimmte Form (zum Beispiel Schriftlichkeit) ist
nicht erforderlich.</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Gesetzlich besteht nur ein Anspruch auf ein einfaches Dienstzeugnis
über Dauer und Art der Dienstleistung, nicht aber auf eine
Bewertung der Arbeitsleistungen (RIS-Justiz RS0029978,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752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26 zu § 39). Wenn das Dienstzeugnis dennoch eine
Bewertung der Arbeitsleistungen enthält, muss diese wahrheitsgetreu
und nicht nachteilig für den Arbeitnehmer sein. Ein Hinweis auf
schlechte Arbeitsleistung bzw ein zu beanstandendes Verhalten des
Arbeitnehmers hat daher zu unterbleiben. Es sind wohlwollende
Formulierungen zu gebrauchen.</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Im gegenständlichen Fall verstößt der Hinweis auf die
einvernehmliche Auflösung des Dienstverhältnisses gegen das
Erschwerungsverbot (RIS-Justiz RS0030868, T2). Auch die Tätigkeit
als Betriebsrat hätte nicht erwähnt werden dürfen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755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36 zu § 39).</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Die Wendung, dass sich der Kläger stets bemüht hat, die Aufgaben
zur vollen Zufriedenheit der beklagten Partei zu verrichten, lässt
auf schlechte Arbeitsleistungen schließen, da es darauf hindeutet,
dass der Arbeitnehmer sich nur bemüht hat, aber keinen Erfolg
verzeichnen konnte. Es handelt sich zudem um eine sehr schwache
positive Formulierung und keinen Superlativ, was ebenfalls eine
schlechte Arbeitsleistung des Klägers indiziert. Üblich wäre
nämlich die Formulierung, dass der Arbeitnehmer seine Arbeit „stets
zur vollsten Zufriedenheit“ des Arbeitgebers ausgeübt hat, wenn man
auf hervorragende Leistungen hinweisen will (OGH 17.12.2008, 9 ObA
164/08w;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36 zu § 39).</w:t>
      </w:r>
    </w:p>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Das Dienstzeugnis darf keine (gravierenden) Tippfehler oder äußere
Mängel aufweisen (zum Beispiel Durchstreichungen, beschädigtes
Papier, Fettflecken etc), die den Eindruck vermitteln, dass es
Probleme im Verhältnis zwischen Arbeitnehmer und Arbeitgeber
gegeben hat bzw die auf eine mangelnde Wertschätzung des
Arbeitgebers gegenüber dem Arbeitnehmer schließen lassen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25
zu § 39).</w:t>
      </w:r>
    </w:p>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Ein Dienstzeugnis, das den gesetzlichen Erfordernissen nicht
entspricht, kann vom Arbeitnehmer abgelehnt werden. Er kann die
Ausstellung eines mangelfreien Dienstzeugnisses fordern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755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40 zu § 39, OLG Wien, 6.11.2002, 8 Ra 312/02i, ARD
5372/2/2003). Die Beweislast für die Mangelhaftigkeit des
übermittelten Dienstzeugnisses trägt jedoch der Kläger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15
zu § 39 mwN).</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Ein auf Ausstellung eines Arbeitszeugnisses iSd § 39 AngG
gerichtetes Klagebegehren wäre unbestimmt und das Begehren
stattgebende Urteil daher nicht vollstreckbar (RIS-Justiz
RS0028464). Im Urteilsbegehren muss daher der Text des
Dienstzeugnisses genannt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12</w:t>
      </w:r>
      <w:r>
        <w:rPr>
          <w:rFonts w:ascii="Arial" w:hAnsi="Arial" w:eastAsia="Arial" w:cs="Arial"/>
          <w:color w:val="000000"/>
          <w:sz w:val="20"/>
          <w:szCs w:val="20"/>
        </w:rPr>
        <w:br/>
        <w:t xml:space="preserve">Das begehrte Dienstzeugnis sollte einen guten Einblick in die Art
der Tätigkeit des Klägers geben und darf nicht zu allgemein
gehalten sein. Es muss die Tätigkeiten, die ein Arbeitnehmer im
Laufe der Arbeitsverhältnisse ausgeübt hat, so vollständig und
genau beschreiben, dass sich künftige Arbeitgeber ein klares Bild
machen können (RIS-Justiz RS0104541)</w:t>
      </w:r>
    </w:p>
    <w:p>
      <w:pPr>
        <w:widowControl w:val="on"/>
        <w:pBdr/>
        <w:spacing w:before="140" w:after="240" w:line="288" w:lineRule="auto"/>
        <w:ind w:left="0" w:right="0"/>
        <w:jc w:val="left"/>
      </w:pPr>
      <w:r>
        <w:rPr>
          <w:rFonts w:ascii="Arial" w:hAnsi="Arial" w:eastAsia="Arial" w:cs="Arial"/>
          <w:color w:val="000000"/>
          <w:sz w:val="20"/>
          <w:szCs w:val="20"/>
        </w:rPr>
        <w:t xml:space="preserve">Die Bezeichnung als „Sekretär“ reicht daher für sich genommen
nicht aus und ist durch eine Beschreibung des Aufgabenkreises zu
ergänzen (vgl dazu ASG Wien 17.11.1995, 23 Cga 199/93i
[rechtskräftig], ARD 4761/10/96, OGH 13.1.1988, 9 ObA 172/87, ARD
3958/10/88, </w:t>
      </w:r>
      <w:r>
        <w:rPr>
          <w:rFonts w:ascii="Arial" w:hAnsi="Arial" w:eastAsia="Arial" w:cs="Arial"/>
          <w:i/>
          <w:iCs/>
          <w:color w:val="000000"/>
          <w:sz w:val="20"/>
          <w:szCs w:val="20"/>
        </w:rPr>
        <w:t xml:space="preserve">Lindmayr</w:t>
      </w:r>
      <w:r>
        <w:rPr>
          <w:rFonts w:ascii="Arial" w:hAnsi="Arial" w:eastAsia="Arial" w:cs="Arial"/>
          <w:color w:val="000000"/>
          <w:sz w:val="20"/>
          <w:szCs w:val="20"/>
        </w:rPr>
        <w:t xml:space="preserve">, Angestelltengesetz [2007],
Rz 753 zu § 39,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34 zu § 39).</w:t>
      </w:r>
    </w:p>
    <w:p>
      <w:pPr>
        <w:widowControl w:val="on"/>
        <w:pBdr/>
        <w:spacing w:before="140" w:after="240" w:line="288" w:lineRule="auto"/>
        <w:ind w:left="0" w:right="0"/>
        <w:jc w:val="left"/>
      </w:pPr>
      <w:r>
        <w:rPr>
          <w:rFonts w:ascii="Arial" w:hAnsi="Arial" w:eastAsia="Arial" w:cs="Arial"/>
          <w:color w:val="000000"/>
          <w:sz w:val="20"/>
          <w:szCs w:val="20"/>
        </w:rPr>
        <w:t xml:space="preserve">Als Grundsatz kann man davon ausgehen, dass die Beschreibung der
Tätigkeiten des Arbeitnehmers umso ausführlicher sein muss, je
länger er beim Arbeitgeber gearbeitet hat und je qualifizierter
seine Tätigkeit war (</w:t>
      </w:r>
      <w:r>
        <w:rPr>
          <w:rFonts w:ascii="Arial" w:hAnsi="Arial" w:eastAsia="Arial" w:cs="Arial"/>
          <w:i/>
          <w:iCs/>
          <w:color w:val="000000"/>
          <w:sz w:val="20"/>
          <w:szCs w:val="20"/>
        </w:rPr>
        <w:t xml:space="preserve">Reissner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Reissner/Standeker</w:t>
      </w:r>
      <w:r>
        <w:rPr>
          <w:rFonts w:ascii="Arial" w:hAnsi="Arial" w:eastAsia="Arial" w:cs="Arial"/>
          <w:color w:val="000000"/>
          <w:sz w:val="20"/>
          <w:szCs w:val="20"/>
        </w:rPr>
        <w:t xml:space="preserve">, AngG, Rz 33 zu § 39
mwN).</w:t>
      </w:r>
    </w:p>
    <w:p>
      <w:pPr>
        <w:widowControl w:val="on"/>
        <w:pBdr/>
        <w:spacing w:before="140" w:after="240" w:line="288" w:lineRule="auto"/>
        <w:ind w:left="0" w:right="0"/>
        <w:jc w:val="left"/>
      </w:pPr>
      <w:r>
        <w:rPr>
          <w:rFonts w:ascii="Arial" w:hAnsi="Arial" w:eastAsia="Arial" w:cs="Arial"/>
          <w:b/>
          <w:bCs/>
          <w:color w:val="000000"/>
          <w:sz w:val="20"/>
          <w:szCs w:val="20"/>
        </w:rPr>
        <w:t xml:space="preserve">13</w:t>
      </w:r>
      <w:r>
        <w:rPr>
          <w:rFonts w:ascii="Arial" w:hAnsi="Arial" w:eastAsia="Arial" w:cs="Arial"/>
          <w:color w:val="000000"/>
          <w:sz w:val="20"/>
          <w:szCs w:val="20"/>
        </w:rPr>
        <w:br/>
        <w:t xml:space="preserve">Das erstinstanzliche klagsstattgebende Urteil ist gem § 61
Abs 1 Z 1 ASGG vorläufig vollstreckbar. Bei der Pflicht
zur Ausstellung eines Dienstzeugnisses handelt es sich um eine
unvertretbare Handlung gem § 354 EO, die durch Geldstrafen
oder Haft zu vollstrecken ist (OGH 8.3.2001, 8 ObA 217/00w, ARD
5236/2/2001).</w:t>
      </w:r>
    </w:p>
    <w:p>
      <w:pPr>
        <w:widowControl w:val="on"/>
        <w:pBdr/>
        <w:spacing w:before="140" w:after="240" w:line="288" w:lineRule="auto"/>
        <w:ind w:left="0" w:right="0"/>
        <w:jc w:val="left"/>
      </w:pPr>
      <w:r>
        <w:rPr>
          <w:rFonts w:ascii="Arial" w:hAnsi="Arial" w:eastAsia="Arial" w:cs="Arial"/>
          <w:color w:val="000000"/>
          <w:sz w:val="20"/>
          <w:szCs w:val="20"/>
        </w:rPr>
        <w:t xml:space="preserve">Das klagsstattgebende Urteil kann nämlich ausnahmsweise nicht
gem § 367 EO die Abgabe der Willenserklärung ersetzen. Die
Vorlage des klagsstattgebenden Urteils anstelle des
Dienstzeugnisses würde nämlich indizieren, dass sich der
Dienstgeber geweigert hat, ein entsprechendes Dienstzeugnis
auszustellen. Auch die (gerechtfertigte) Verfolgung der Ansprüche
mithilfe des Gerichtes, die durch Vorlage des Urteils offenkundig
wird, kann einen neuen Dienstgeber abschrecken, den Arbeitnehmer zu
beschäftigen (OGH 8.3.2001, 8 ObA 217/00w, ARD 5236/2/2001).</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952389">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46109010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856761">
    <w:multiLevelType w:val="hybridMultilevel"/>
    <w:lvl w:ilvl="0" w:tplc="13648785">
      <w:start w:val="1"/>
      <w:numFmt w:val="decimal"/>
      <w:lvlText w:val="%1."/>
      <w:lvlJc w:val="left"/>
      <w:pPr>
        <w:ind w:left="720" w:hanging="360"/>
      </w:pPr>
    </w:lvl>
    <w:lvl w:ilvl="1" w:tplc="13648785" w:tentative="1">
      <w:start w:val="1"/>
      <w:numFmt w:val="lowerLetter"/>
      <w:lvlText w:val="%2."/>
      <w:lvlJc w:val="left"/>
      <w:pPr>
        <w:ind w:left="1440" w:hanging="360"/>
      </w:pPr>
    </w:lvl>
    <w:lvl w:ilvl="2" w:tplc="13648785" w:tentative="1">
      <w:start w:val="1"/>
      <w:numFmt w:val="lowerRoman"/>
      <w:lvlText w:val="%3."/>
      <w:lvlJc w:val="right"/>
      <w:pPr>
        <w:ind w:left="2160" w:hanging="180"/>
      </w:pPr>
    </w:lvl>
    <w:lvl w:ilvl="3" w:tplc="13648785" w:tentative="1">
      <w:start w:val="1"/>
      <w:numFmt w:val="decimal"/>
      <w:lvlText w:val="%4."/>
      <w:lvlJc w:val="left"/>
      <w:pPr>
        <w:ind w:left="2880" w:hanging="360"/>
      </w:pPr>
    </w:lvl>
    <w:lvl w:ilvl="4" w:tplc="13648785" w:tentative="1">
      <w:start w:val="1"/>
      <w:numFmt w:val="lowerLetter"/>
      <w:lvlText w:val="%5."/>
      <w:lvlJc w:val="left"/>
      <w:pPr>
        <w:ind w:left="3600" w:hanging="360"/>
      </w:pPr>
    </w:lvl>
    <w:lvl w:ilvl="5" w:tplc="13648785" w:tentative="1">
      <w:start w:val="1"/>
      <w:numFmt w:val="lowerRoman"/>
      <w:lvlText w:val="%6."/>
      <w:lvlJc w:val="right"/>
      <w:pPr>
        <w:ind w:left="4320" w:hanging="180"/>
      </w:pPr>
    </w:lvl>
    <w:lvl w:ilvl="6" w:tplc="13648785" w:tentative="1">
      <w:start w:val="1"/>
      <w:numFmt w:val="decimal"/>
      <w:lvlText w:val="%7."/>
      <w:lvlJc w:val="left"/>
      <w:pPr>
        <w:ind w:left="5040" w:hanging="360"/>
      </w:pPr>
    </w:lvl>
    <w:lvl w:ilvl="7" w:tplc="13648785" w:tentative="1">
      <w:start w:val="1"/>
      <w:numFmt w:val="lowerLetter"/>
      <w:lvlText w:val="%8."/>
      <w:lvlJc w:val="left"/>
      <w:pPr>
        <w:ind w:left="5760" w:hanging="360"/>
      </w:pPr>
    </w:lvl>
    <w:lvl w:ilvl="8" w:tplc="13648785" w:tentative="1">
      <w:start w:val="1"/>
      <w:numFmt w:val="lowerRoman"/>
      <w:lvlText w:val="%9."/>
      <w:lvlJc w:val="right"/>
      <w:pPr>
        <w:ind w:left="6480" w:hanging="180"/>
      </w:pPr>
    </w:lvl>
  </w:abstractNum>
  <w:abstractNum w:abstractNumId="162191375">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1975614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856760">
    <w:multiLevelType w:val="hybridMultilevel"/>
    <w:lvl w:ilvl="0" w:tplc="59154516">
      <w:start w:val="1"/>
      <w:numFmt w:val="decimal"/>
      <w:lvlText w:val="%1."/>
      <w:lvlJc w:val="left"/>
      <w:pPr>
        <w:ind w:left="720" w:hanging="360"/>
      </w:pPr>
    </w:lvl>
    <w:lvl w:ilvl="1" w:tplc="59154516" w:tentative="1">
      <w:start w:val="1"/>
      <w:numFmt w:val="lowerLetter"/>
      <w:lvlText w:val="%2."/>
      <w:lvlJc w:val="left"/>
      <w:pPr>
        <w:ind w:left="1440" w:hanging="360"/>
      </w:pPr>
    </w:lvl>
    <w:lvl w:ilvl="2" w:tplc="59154516" w:tentative="1">
      <w:start w:val="1"/>
      <w:numFmt w:val="lowerRoman"/>
      <w:lvlText w:val="%3."/>
      <w:lvlJc w:val="right"/>
      <w:pPr>
        <w:ind w:left="2160" w:hanging="180"/>
      </w:pPr>
    </w:lvl>
    <w:lvl w:ilvl="3" w:tplc="59154516" w:tentative="1">
      <w:start w:val="1"/>
      <w:numFmt w:val="decimal"/>
      <w:lvlText w:val="%4."/>
      <w:lvlJc w:val="left"/>
      <w:pPr>
        <w:ind w:left="2880" w:hanging="360"/>
      </w:pPr>
    </w:lvl>
    <w:lvl w:ilvl="4" w:tplc="59154516" w:tentative="1">
      <w:start w:val="1"/>
      <w:numFmt w:val="lowerLetter"/>
      <w:lvlText w:val="%5."/>
      <w:lvlJc w:val="left"/>
      <w:pPr>
        <w:ind w:left="3600" w:hanging="360"/>
      </w:pPr>
    </w:lvl>
    <w:lvl w:ilvl="5" w:tplc="59154516" w:tentative="1">
      <w:start w:val="1"/>
      <w:numFmt w:val="lowerRoman"/>
      <w:lvlText w:val="%6."/>
      <w:lvlJc w:val="right"/>
      <w:pPr>
        <w:ind w:left="4320" w:hanging="180"/>
      </w:pPr>
    </w:lvl>
    <w:lvl w:ilvl="6" w:tplc="59154516" w:tentative="1">
      <w:start w:val="1"/>
      <w:numFmt w:val="decimal"/>
      <w:lvlText w:val="%7."/>
      <w:lvlJc w:val="left"/>
      <w:pPr>
        <w:ind w:left="5040" w:hanging="360"/>
      </w:pPr>
    </w:lvl>
    <w:lvl w:ilvl="7" w:tplc="59154516" w:tentative="1">
      <w:start w:val="1"/>
      <w:numFmt w:val="lowerLetter"/>
      <w:lvlText w:val="%8."/>
      <w:lvlJc w:val="left"/>
      <w:pPr>
        <w:ind w:left="5760" w:hanging="360"/>
      </w:pPr>
    </w:lvl>
    <w:lvl w:ilvl="8" w:tplc="59154516" w:tentative="1">
      <w:start w:val="1"/>
      <w:numFmt w:val="lowerRoman"/>
      <w:lvlText w:val="%9."/>
      <w:lvlJc w:val="right"/>
      <w:pPr>
        <w:ind w:left="6480" w:hanging="180"/>
      </w:pPr>
    </w:lvl>
  </w:abstractNum>
  <w:abstractNum w:abstractNumId="88856759">
    <w:multiLevelType w:val="hybridMultilevel"/>
    <w:lvl w:ilvl="0" w:tplc="22333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856759">
    <w:abstractNumId w:val="88856759"/>
  </w:num>
  <w:num w:numId="88856760">
    <w:abstractNumId w:val="88856760"/>
  </w:num>
  <w:num w:numId="197561458">
    <w:abstractNumId w:val="197561458"/>
  </w:num>
  <w:num w:numId="162191375">
    <w:abstractNumId w:val="162191375"/>
  </w:num>
  <w:num w:numId="88856761">
    <w:abstractNumId w:val="88856761"/>
  </w:num>
  <w:num w:numId="461090101">
    <w:abstractNumId w:val="461090101"/>
  </w:num>
  <w:num w:numId="67952389">
    <w:abstractNumId w:val="679523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35783234" Type="http://schemas.openxmlformats.org/officeDocument/2006/relationships/numbering" Target="numbering.xml"/><Relationship Id="rId12414589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