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0942111" w:name="document"/>
    <w:bookmarkEnd w:id="40942111"/>
    <w:p/>
    <w:p>
      <w:pPr>
        <w:widowControl w:val="on"/>
        <w:pBdr/>
        <w:spacing w:before="0" w:after="280" w:line="240" w:lineRule="auto"/>
        <w:ind w:left="0" w:right="0"/>
        <w:jc w:val="left"/>
      </w:pPr>
      <w:r>
        <w:rPr>
          <w:rFonts w:ascii="Arial" w:hAnsi="Arial" w:eastAsia="Arial" w:cs="Arial"/>
          <w:color w:val="363A40"/>
          <w:sz w:val="24"/>
          <w:szCs w:val="24"/>
        </w:rPr>
        <w:t xml:space="preserve">Dokument-ID: 1183818 | Magdalena Ferner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Herausgabeklage (Pkw)</w: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Rechtsanwältin Mag. Magdalena
Ferner</w:t>
      </w:r>
      <w:r>
        <w:rPr>
          <w:rFonts w:ascii="Arial" w:hAnsi="Arial" w:eastAsia="Arial" w:cs="Arial"/>
          <w:color w:val="000000"/>
          <w:sz w:val="20"/>
          <w:szCs w:val="20"/>
        </w:rPr>
        <w:br/>
        <w:t xml:space="preserve">Lerchenfelder Straße 88–90/Top 11</w:t>
      </w:r>
      <w:r>
        <w:rPr>
          <w:rFonts w:ascii="Arial" w:hAnsi="Arial" w:eastAsia="Arial" w:cs="Arial"/>
          <w:color w:val="000000"/>
          <w:sz w:val="20"/>
          <w:szCs w:val="20"/>
        </w:rPr>
        <w:br/>
        <w:t xml:space="preserve">1080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Liesing</w:t>
      </w:r>
      <w:r>
        <w:rPr>
          <w:rFonts w:ascii="Arial" w:hAnsi="Arial" w:eastAsia="Arial" w:cs="Arial"/>
          <w:color w:val="000000"/>
          <w:sz w:val="20"/>
          <w:szCs w:val="20"/>
        </w:rPr>
        <w:br/>
        <w:t xml:space="preserve">Haeckelstraße 8</w:t>
      </w:r>
      <w:r>
        <w:rPr>
          <w:rFonts w:ascii="Arial" w:hAnsi="Arial" w:eastAsia="Arial" w:cs="Arial"/>
          <w:color w:val="000000"/>
          <w:sz w:val="20"/>
          <w:szCs w:val="20"/>
        </w:rPr>
        <w:br/>
        <w:t xml:space="preserve">1230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09.04.2023</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Markus Muster</w:t>
            </w:r>
            <w:r>
              <w:rPr>
                <w:rFonts w:ascii="Arial" w:hAnsi="Arial" w:eastAsia="Arial" w:cs="Arial"/>
                <w:color w:val="000000"/>
                <w:position w:val="0"/>
                <w:sz w:val="20"/>
                <w:szCs w:val="20"/>
                <w:shd w:val="clear" w:color="auto" w:fill="FFFFFF"/>
              </w:rPr>
              <w:br/>
              <w:t xml:space="preserve">Kolingasse 15</w:t>
            </w:r>
            <w:r>
              <w:rPr>
                <w:rFonts w:ascii="Arial" w:hAnsi="Arial" w:eastAsia="Arial" w:cs="Arial"/>
                <w:color w:val="000000"/>
                <w:position w:val="0"/>
                <w:sz w:val="20"/>
                <w:szCs w:val="20"/>
                <w:shd w:val="clear" w:color="auto" w:fill="FFFFFF"/>
              </w:rPr>
              <w:br/>
              <w:t xml:space="preserve">1090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RA Mag. Magdalena Ferner</w:t>
            </w:r>
            <w:r>
              <w:rPr>
                <w:rFonts w:ascii="Arial" w:hAnsi="Arial" w:eastAsia="Arial" w:cs="Arial"/>
                <w:color w:val="000000"/>
                <w:position w:val="0"/>
                <w:sz w:val="20"/>
                <w:szCs w:val="20"/>
                <w:shd w:val="clear" w:color="auto" w:fill="FFFFFF"/>
              </w:rPr>
              <w:br/>
              <w:t xml:space="preserve">Lerchenfelder Straße 88–90/Top 11</w:t>
            </w:r>
            <w:r>
              <w:rPr>
                <w:rFonts w:ascii="Arial" w:hAnsi="Arial" w:eastAsia="Arial" w:cs="Arial"/>
                <w:color w:val="000000"/>
                <w:position w:val="0"/>
                <w:sz w:val="20"/>
                <w:szCs w:val="20"/>
                <w:shd w:val="clear" w:color="auto" w:fill="FFFFFF"/>
              </w:rPr>
              <w:br/>
              <w:t xml:space="preserve">1080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AVR Code: 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Leonhard Muster</w:t>
            </w:r>
            <w:r>
              <w:rPr>
                <w:rFonts w:ascii="Arial" w:hAnsi="Arial" w:eastAsia="Arial" w:cs="Arial"/>
                <w:color w:val="000000"/>
                <w:position w:val="0"/>
                <w:sz w:val="20"/>
                <w:szCs w:val="20"/>
                <w:shd w:val="clear" w:color="auto" w:fill="FFFFFF"/>
              </w:rPr>
              <w:br/>
              <w:t xml:space="preserve">Spiegelgasse 14</w:t>
            </w:r>
            <w:r>
              <w:rPr>
                <w:rFonts w:ascii="Arial" w:hAnsi="Arial" w:eastAsia="Arial" w:cs="Arial"/>
                <w:color w:val="000000"/>
                <w:position w:val="0"/>
                <w:sz w:val="20"/>
                <w:szCs w:val="20"/>
                <w:shd w:val="clear" w:color="auto" w:fill="FFFFFF"/>
              </w:rPr>
              <w:br/>
              <w:t xml:space="preserve">1230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Herausgabe</w:t>
            </w:r>
            <w:r>
              <w:rPr>
                <w:rFonts w:ascii="Arial" w:hAnsi="Arial" w:eastAsia="Arial" w:cs="Arial"/>
                <w:color w:val="000000"/>
                <w:position w:val="0"/>
                <w:sz w:val="20"/>
                <w:szCs w:val="20"/>
                <w:shd w:val="clear" w:color="auto" w:fill="FFFFFF"/>
              </w:rPr>
              <w:br/>
              <w:t xml:space="preserve">(RATG/JN/GGG EUR 2.500,–)</w:t>
            </w:r>
          </w:p>
        </w:tc>
      </w:tr>
    </w:tbl>
    <w:p>
      <w:pPr>
        <w:widowControl w:val="on"/>
        <w:pBdr/>
        <w:spacing w:before="140" w:after="240" w:line="288" w:lineRule="auto"/>
        <w:ind w:left="0" w:right="0"/>
        <w:jc w:val="right"/>
      </w:pPr>
      <w:r>
        <w:rPr>
          <w:rFonts w:ascii="Arial" w:hAnsi="Arial" w:eastAsia="Arial" w:cs="Arial"/>
          <w:color w:val="000000"/>
          <w:sz w:val="20"/>
          <w:szCs w:val="20"/>
        </w:rPr>
        <w:t xml:space="preserve">2-fach</w:t>
      </w:r>
    </w:p>
    <w:p>
      <w:pPr>
        <w:widowControl w:val="on"/>
        <w:pBdr/>
        <w:spacing w:before="140" w:after="240" w:line="288" w:lineRule="auto"/>
        <w:ind w:left="0" w:right="0"/>
        <w:jc w:val="left"/>
      </w:pPr>
      <w:r>
        <w:rPr>
          <w:rFonts w:ascii="Arial" w:hAnsi="Arial" w:eastAsia="Arial" w:cs="Arial"/>
          <w:color w:val="000000"/>
          <w:sz w:val="20"/>
          <w:szCs w:val="20"/>
        </w:rPr>
        <w:t xml:space="preserve">In umseits bezeichneter Rechtssache hat der Kläger RA Mag.
Magdalena Ferner mit seiner rechtsfreundlichen Vertretung
beauftragt. Durch seine ausgewiesene Vertreterin erhebt er
nachstehende</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left"/>
      </w:pPr>
      <w:r>
        <w:rPr>
          <w:rFonts w:ascii="Arial" w:hAnsi="Arial" w:eastAsia="Arial" w:cs="Arial"/>
          <w:color w:val="000000"/>
          <w:sz w:val="20"/>
          <w:szCs w:val="20"/>
        </w:rPr>
        <w:t xml:space="preserve">Der Kläger ist Eigentümer und Zulassungsbesitzer eines
Personenkraftwagens mit Fahrgestellnummer XYZ, Type Toyota Yaris
1,0 WTi mit Kennzeichen XXX, Baujahr 2009.</w:t>
      </w:r>
    </w:p>
    <w:p>
      <w:pPr>
        <w:widowControl w:val="on"/>
        <w:pBdr/>
        <w:spacing w:before="140" w:after="240" w:line="288" w:lineRule="auto"/>
        <w:ind w:left="0" w:right="0"/>
        <w:jc w:val="left"/>
      </w:pPr>
      <w:r>
        <w:rPr>
          <w:rFonts w:ascii="Arial" w:hAnsi="Arial" w:eastAsia="Arial" w:cs="Arial"/>
          <w:color w:val="000000"/>
          <w:sz w:val="20"/>
          <w:szCs w:val="20"/>
        </w:rPr>
        <w:t xml:space="preserve">Das Fahrzeug befindet sich seit 31.01.2023 im Besitz des
Beklagten.</w:t>
      </w:r>
    </w:p>
    <w:p>
      <w:pPr>
        <w:widowControl w:val="on"/>
        <w:pBdr/>
        <w:spacing w:before="140" w:after="240" w:line="288" w:lineRule="auto"/>
        <w:ind w:left="0" w:right="0"/>
        <w:jc w:val="left"/>
      </w:pPr>
      <w:r>
        <w:rPr>
          <w:rFonts w:ascii="Arial" w:hAnsi="Arial" w:eastAsia="Arial" w:cs="Arial"/>
          <w:color w:val="000000"/>
          <w:sz w:val="20"/>
          <w:szCs w:val="20"/>
        </w:rPr>
        <w:t xml:space="preserve">Der Beklagte weigert sich beharrlich, den Personenkraftwagen an
den Kläger zurückzustellen, obwohl kein wie immer geartetes
Benützungsrecht daran besteht und er mehrfach zur Rückgabe
aufgefordert wurde. Der Kläger ist daher zur gegenständlichen Klage
gezwungen.</w:t>
      </w:r>
    </w:p>
    <w:p>
      <w:pPr>
        <w:widowControl w:val="on"/>
        <w:pBdr/>
        <w:spacing w:before="140" w:after="240" w:line="288" w:lineRule="auto"/>
        <w:ind w:left="0" w:right="0"/>
        <w:jc w:val="left"/>
      </w:pPr>
      <w:r>
        <w:rPr>
          <w:rFonts w:ascii="Arial" w:hAnsi="Arial" w:eastAsia="Arial" w:cs="Arial"/>
          <w:color w:val="000000"/>
          <w:sz w:val="20"/>
          <w:szCs w:val="20"/>
        </w:rPr>
        <w:t xml:space="preserve">Der Kläger ist bereit, anstelle des Personenkraftwagens einen
Lösungsbetrag von EUR 2.500,– vom Beklagten anzunehmen.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 des Klägers</w:t>
            </w:r>
            <w:r>
              <w:rPr>
                <w:rFonts w:ascii="Arial" w:hAnsi="Arial" w:eastAsia="Arial" w:cs="Arial"/>
                <w:color w:val="000000"/>
                <w:position w:val="0"/>
                <w:sz w:val="20"/>
                <w:szCs w:val="20"/>
                <w:shd w:val="clear" w:color="auto" w:fill="FFFFFF"/>
              </w:rPr>
              <w:br/>
              <w:t xml:space="preserve">Aufforderungsschreiben vom 15.03.2023, Beilage ./A</w:t>
            </w:r>
          </w:p>
        </w:tc>
      </w:tr>
    </w:tbl>
    <w:p>
      <w:pPr>
        <w:widowControl w:val="on"/>
        <w:pBdr/>
        <w:spacing w:before="140" w:after="240" w:line="288" w:lineRule="auto"/>
        <w:ind w:left="0" w:right="0"/>
        <w:jc w:val="left"/>
      </w:pPr>
      <w:r>
        <w:rPr>
          <w:rFonts w:ascii="Arial" w:hAnsi="Arial" w:eastAsia="Arial" w:cs="Arial"/>
          <w:color w:val="000000"/>
          <w:sz w:val="20"/>
          <w:szCs w:val="20"/>
        </w:rPr>
        <w:t xml:space="preserve">Aus den oben genannten Gründen wird vom Kläger folgendes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widowControl w:val="on"/>
        <w:pBdr/>
        <w:spacing w:before="140" w:after="240" w:line="288" w:lineRule="auto"/>
        <w:ind w:left="0" w:right="0"/>
        <w:jc w:val="left"/>
      </w:pPr>
      <w:r>
        <w:rPr>
          <w:rFonts w:ascii="Arial" w:hAnsi="Arial" w:eastAsia="Arial" w:cs="Arial"/>
          <w:color w:val="000000"/>
          <w:sz w:val="20"/>
          <w:szCs w:val="20"/>
        </w:rPr>
        <w:t xml:space="preserve">beantragt:</w:t>
      </w:r>
    </w:p>
    <w:p>
      <w:pPr>
        <w:numPr>
          <w:ilvl w:val="0"/>
          <w:numId w:val="8045225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Beklagte ist binnen 14 Tagen bei sonstiger Exekution
schuldig, den PKW mit Fahrgestellnummer XYZ, Type Toyota Yaris 1,0
WTi mit Kennzeichen XXX, Baujahr 2009 an den Kläger herauszugeben
oder dem Kläger den Betrag von EUR 2.500,– zu bezahlen;</w:t>
      </w:r>
    </w:p>
    <w:p>
      <w:pPr>
        <w:numPr>
          <w:ilvl w:val="0"/>
          <w:numId w:val="8045225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Beklagte ist weiters schuldig, dem Kläger die Kosten des
Verfahrens gem § 19a RAO binnen 14 Tagen bei sonstiger
Exekution zuhanden der Klagevertreterin zu ersetzen.</w:t>
      </w:r>
    </w:p>
    <w:p>
      <w:pPr>
        <w:widowControl w:val="on"/>
        <w:pBdr/>
        <w:spacing w:before="140" w:after="240" w:line="288" w:lineRule="auto"/>
        <w:ind w:left="0" w:right="0"/>
        <w:jc w:val="left"/>
      </w:pPr>
      <w:r>
        <w:rPr>
          <w:rFonts w:ascii="Arial" w:hAnsi="Arial" w:eastAsia="Arial" w:cs="Arial"/>
          <w:color w:val="000000"/>
          <w:sz w:val="20"/>
          <w:szCs w:val="20"/>
        </w:rPr>
        <w:t xml:space="preserve">Markus Muster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Die </w:t>
      </w:r>
      <w:r>
        <w:rPr>
          <w:rFonts w:ascii="Arial" w:hAnsi="Arial" w:eastAsia="Arial" w:cs="Arial"/>
          <w:b/>
          <w:bCs/>
          <w:color w:val="000000"/>
          <w:sz w:val="20"/>
          <w:szCs w:val="20"/>
        </w:rPr>
        <w:t xml:space="preserve">eingeklagten Sachen</w:t>
      </w:r>
      <w:r>
        <w:rPr>
          <w:rFonts w:ascii="Arial" w:hAnsi="Arial" w:eastAsia="Arial" w:cs="Arial"/>
          <w:color w:val="000000"/>
          <w:sz w:val="20"/>
          <w:szCs w:val="20"/>
        </w:rPr>
        <w:t xml:space="preserve"> sind im Klagebegehren
möglichst genau zu umschreiben, damit </w:t>
      </w:r>
      <w:r>
        <w:rPr>
          <w:rFonts w:ascii="Arial" w:hAnsi="Arial" w:eastAsia="Arial" w:cs="Arial"/>
          <w:b/>
          <w:bCs/>
          <w:color w:val="000000"/>
          <w:sz w:val="20"/>
          <w:szCs w:val="20"/>
        </w:rPr>
        <w:t xml:space="preserve">ausreichend
bestimmbar</w:t>
      </w:r>
      <w:r>
        <w:rPr>
          <w:rFonts w:ascii="Arial" w:hAnsi="Arial" w:eastAsia="Arial" w:cs="Arial"/>
          <w:color w:val="000000"/>
          <w:sz w:val="20"/>
          <w:szCs w:val="20"/>
        </w:rPr>
        <w:t xml:space="preserve"> ist, welche Sachen herausgegeben werden
sollen.</w:t>
      </w:r>
    </w:p>
    <w:p>
      <w:pPr>
        <w:widowControl w:val="on"/>
        <w:pBdr/>
        <w:spacing w:before="140" w:after="240" w:line="288" w:lineRule="auto"/>
        <w:ind w:left="0" w:right="0"/>
        <w:jc w:val="left"/>
      </w:pPr>
      <w:r>
        <w:rPr>
          <w:rFonts w:ascii="Arial" w:hAnsi="Arial" w:eastAsia="Arial" w:cs="Arial"/>
          <w:color w:val="000000"/>
          <w:sz w:val="20"/>
          <w:szCs w:val="20"/>
        </w:rPr>
        <w:t xml:space="preserve">Eine jeden Zweifel und jede objektive Ungewissheit
ausschließende Präzisierung des Klagebegehrens ist nur bei
Geldleistungsklagen zu verlangen; bei anderen Klagen ist dem
Erfordernis des § 226 ZPO hinsichtlich der Bestimmtheit des
Klagebegehrens jedenfalls dann genüge getan, wenn man unter
Berücksichtigung des Sprachgebrauchs und Ortsgebrauchs und nach den
Regeln des Verkehres daraus entnehmen kann, was begehrt ist (vgl
auch 1 Ob 224/51, RIS-Justiz RS0037874).</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Die Herausgabe einer Sache kann nur verlangt werden, wenn der
Beklagte bei Schluss der mündlichen Verhandlung erster Instanz oder
wenigstens im Zeitpunkt der Klagszustellung Inhaber der Sache
war.</w:t>
      </w:r>
    </w:p>
    <w:p>
      <w:pPr>
        <w:widowControl w:val="on"/>
        <w:pBdr/>
        <w:spacing w:before="140" w:after="240" w:line="288" w:lineRule="auto"/>
        <w:ind w:left="0" w:right="0"/>
        <w:jc w:val="left"/>
      </w:pPr>
      <w:r>
        <w:rPr>
          <w:rFonts w:ascii="Arial" w:hAnsi="Arial" w:eastAsia="Arial" w:cs="Arial"/>
          <w:color w:val="000000"/>
          <w:sz w:val="20"/>
          <w:szCs w:val="20"/>
        </w:rPr>
        <w:t xml:space="preserve">Die Veräußerung der in Streit verfangenen Sache nach
Klagszustellung hat gem § 234 ZPO keinen Einfluss auf das
Verfahren. Der Erwerber ist nicht berechtigt, ohne Zustimmung des
Gegners als Hauptpartei in den Prozess einzutreten. Allerdings
führt der nachträgliche Untergang der Sache zum Verlust des
Herausgabeanspruches.</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Eine mögliche Einwendung gegen die Klagsbehauptung ist, dass der
Kläger nicht (mehr) Eigentümer der begehrten Sache ist. Der
Beklagte könnte sich je nach den Umständen des Einzelfalles auch
auf eine Zug-um-Zug Verknüpfung oder ein Recht auf Innehabung der
Sache gegenüber dem Kläger stützen.</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Hinsichtlich der </w:t>
      </w:r>
      <w:r>
        <w:rPr>
          <w:rFonts w:ascii="Arial" w:hAnsi="Arial" w:eastAsia="Arial" w:cs="Arial"/>
          <w:b/>
          <w:bCs/>
          <w:color w:val="000000"/>
          <w:sz w:val="20"/>
          <w:szCs w:val="20"/>
        </w:rPr>
        <w:t xml:space="preserve">Beweislast</w:t>
      </w:r>
      <w:r>
        <w:rPr>
          <w:rFonts w:ascii="Arial" w:hAnsi="Arial" w:eastAsia="Arial" w:cs="Arial"/>
          <w:color w:val="000000"/>
          <w:sz w:val="20"/>
          <w:szCs w:val="20"/>
        </w:rPr>
        <w:t xml:space="preserve"> für die Klage ist
§ 369 ABGB zu beachten: Wer eine Eigentumsklage übernimmt,
muss auch den Beweis führen, dass der Geklagte die eingeklagte
Sache in seiner Macht hat und dass die Sache sein Eigentum ist.</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Der Kläger hat dem Beklagten im gegenständlichen Fall gem
§ 410 ZPO eine so genannte </w:t>
      </w:r>
      <w:r>
        <w:rPr>
          <w:rFonts w:ascii="Arial" w:hAnsi="Arial" w:eastAsia="Arial" w:cs="Arial"/>
          <w:b/>
          <w:bCs/>
          <w:color w:val="000000"/>
          <w:sz w:val="20"/>
          <w:szCs w:val="20"/>
        </w:rPr>
        <w:t xml:space="preserve">Lösungsbefugnis</w:t>
      </w:r>
      <w:r>
        <w:rPr>
          <w:rFonts w:ascii="Arial" w:hAnsi="Arial" w:eastAsia="Arial" w:cs="Arial"/>
          <w:color w:val="000000"/>
          <w:sz w:val="20"/>
          <w:szCs w:val="20"/>
        </w:rPr>
        <w:t xml:space="preserve">
eingeräumt.</w:t>
      </w:r>
    </w:p>
    <w:p>
      <w:pPr>
        <w:widowControl w:val="on"/>
        <w:pBdr/>
        <w:spacing w:before="140" w:after="240" w:line="288" w:lineRule="auto"/>
        <w:ind w:left="0" w:right="0"/>
        <w:jc w:val="left"/>
      </w:pPr>
      <w:r>
        <w:rPr>
          <w:rFonts w:ascii="Arial" w:hAnsi="Arial" w:eastAsia="Arial" w:cs="Arial"/>
          <w:color w:val="000000"/>
          <w:sz w:val="20"/>
          <w:szCs w:val="20"/>
        </w:rPr>
        <w:t xml:space="preserve">Der Beklagte kann sich durch Zahlung einer bestimmten Geldsumme
vom Anspruch auf Herausgabe der Sache befreien.</w:t>
      </w:r>
    </w:p>
    <w:p>
      <w:pPr>
        <w:widowControl w:val="on"/>
        <w:pBdr/>
        <w:spacing w:before="140" w:after="240" w:line="288" w:lineRule="auto"/>
        <w:ind w:left="0" w:right="0"/>
        <w:jc w:val="left"/>
      </w:pPr>
      <w:r>
        <w:rPr>
          <w:rFonts w:ascii="Arial" w:hAnsi="Arial" w:eastAsia="Arial" w:cs="Arial"/>
          <w:color w:val="000000"/>
          <w:sz w:val="20"/>
          <w:szCs w:val="20"/>
        </w:rPr>
        <w:t xml:space="preserve">Wird dem Schuldner eine Lösungsbefugnis eingeräumt, schuldet er
im Gegensatz zur Wahlschuld nur eine bestimmte Leistung, ihm steht
aber das Recht zu, anstelle der geschuldeten eine andere Leistung
mit schuldbefreiender Wirkung zu erbringen.</w:t>
      </w:r>
    </w:p>
    <w:p>
      <w:pPr>
        <w:widowControl w:val="on"/>
        <w:pBdr/>
        <w:spacing w:before="140" w:after="240" w:line="288" w:lineRule="auto"/>
        <w:ind w:left="0" w:right="0"/>
        <w:jc w:val="left"/>
      </w:pPr>
      <w:r>
        <w:rPr>
          <w:rFonts w:ascii="Arial" w:hAnsi="Arial" w:eastAsia="Arial" w:cs="Arial"/>
          <w:color w:val="000000"/>
          <w:sz w:val="20"/>
          <w:szCs w:val="20"/>
        </w:rPr>
        <w:t xml:space="preserve">Die Lösungsbefugnis unterscheidet sich von einer Leistung an
Zahlungs statt dadurch, dass das alte Schuldverhältnis nicht durch
ein neues ersetzt wird. Es liegt vielmehr die Einräumung eines
Gestaltungsrechtes vor.</w:t>
      </w:r>
    </w:p>
    <w:p>
      <w:pPr>
        <w:widowControl w:val="on"/>
        <w:pBdr/>
        <w:spacing w:before="140" w:after="240" w:line="288" w:lineRule="auto"/>
        <w:ind w:left="0" w:right="0"/>
        <w:jc w:val="left"/>
      </w:pPr>
      <w:r>
        <w:rPr>
          <w:rFonts w:ascii="Arial" w:hAnsi="Arial" w:eastAsia="Arial" w:cs="Arial"/>
          <w:color w:val="000000"/>
          <w:sz w:val="20"/>
          <w:szCs w:val="20"/>
        </w:rPr>
        <w:t xml:space="preserve">Die in das Urteil aufgenommene Lösungsbefugnis bildet keinen
Exekutionstitel; nur die ursprünglich geschuldete Leistung kann
exekutiv hereingebracht werden (RIS-Justiz RS0017669).</w:t>
      </w:r>
    </w:p>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Erbietet sich der Kläger anstelle der angesprochenen Sache eine
bestimmte Geldsumme anzunehmen (wie es konkret der Fall ist) oder
stellt er ein alternatives Begehren auf Zuerkennung einer
Geldsumme, so ist gem § 56 JN die in der Klage angegebene
Geldsumme für die Beurteilung der Zuständigkeit und für die
Besetzung des Gerichtes maßgebend.</w:t>
      </w:r>
    </w:p>
    <w:p>
      <w:pPr>
        <w:widowControl w:val="on"/>
        <w:pBdr/>
        <w:spacing w:before="140" w:after="240" w:line="288" w:lineRule="auto"/>
        <w:ind w:left="0" w:right="0"/>
        <w:jc w:val="left"/>
      </w:pPr>
      <w:r>
        <w:rPr>
          <w:rFonts w:ascii="Arial" w:hAnsi="Arial" w:eastAsia="Arial" w:cs="Arial"/>
          <w:color w:val="000000"/>
          <w:sz w:val="20"/>
          <w:szCs w:val="20"/>
        </w:rPr>
        <w:t xml:space="preserve">In allen anderen Fällen hat der Kläger den Wert eines nicht in
einem Geldbetrag bestehenden vermögensrechtlichen
Streitgegenstandes in der Klage anzugeben. Dies gilt insbesondere
auch in Ansehung von Feststellungsklagen. Unterlässt der Kläger
eine Bewertung in einer Klage, so gilt der Betrag von
EUR 5.000,– als Streitwert.</w:t>
      </w:r>
    </w:p>
    <w:p>
      <w:pPr>
        <w:widowControl w:val="on"/>
        <w:pBdr/>
        <w:spacing w:before="140" w:after="240" w:line="288" w:lineRule="auto"/>
        <w:ind w:left="0" w:right="0"/>
        <w:jc w:val="left"/>
      </w:pPr>
      <w:r>
        <w:rPr>
          <w:rFonts w:ascii="Arial" w:hAnsi="Arial" w:eastAsia="Arial" w:cs="Arial"/>
          <w:b/>
          <w:bCs/>
          <w:color w:val="000000"/>
          <w:sz w:val="20"/>
          <w:szCs w:val="20"/>
        </w:rPr>
        <w:t xml:space="preserve">7</w:t>
      </w:r>
      <w:r>
        <w:rPr>
          <w:rFonts w:ascii="Arial" w:hAnsi="Arial" w:eastAsia="Arial" w:cs="Arial"/>
          <w:color w:val="000000"/>
          <w:sz w:val="20"/>
          <w:szCs w:val="20"/>
        </w:rPr>
        <w:br/>
        <w:t xml:space="preserve">Die gegenständliche Klage ist auf Herausgabe einer beweglichen
Sache gerichtet. Bei unbeweglichen Sachen muss eine Klage auf
Räumung eingebracht werden.</w:t>
      </w:r>
    </w:p>
    <w:p>
      <w:pPr>
        <w:widowControl w:val="on"/>
        <w:pBdr/>
        <w:spacing w:before="140" w:after="240" w:line="288" w:lineRule="auto"/>
        <w:ind w:left="0" w:right="0"/>
        <w:jc w:val="left"/>
      </w:pPr>
      <w:r>
        <w:rPr>
          <w:rFonts w:ascii="Arial" w:hAnsi="Arial" w:eastAsia="Arial" w:cs="Arial"/>
          <w:b/>
          <w:bCs/>
          <w:color w:val="000000"/>
          <w:sz w:val="20"/>
          <w:szCs w:val="20"/>
        </w:rPr>
        <w:t xml:space="preserve">8</w:t>
      </w:r>
      <w:r>
        <w:rPr>
          <w:rFonts w:ascii="Arial" w:hAnsi="Arial" w:eastAsia="Arial" w:cs="Arial"/>
          <w:color w:val="000000"/>
          <w:sz w:val="20"/>
          <w:szCs w:val="20"/>
        </w:rPr>
        <w:br/>
        <w:t xml:space="preserve">Der sachenrechtliche Anspruch auf Herausgabe des Pkws kann –
abhängig von den Umständen des Einzelfalles – auch mit Ansprüchen
aus einem Vertrag oder bereicherungsrechtlichen Anspruchsgrundlagen
konkurrieren.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4522540">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8061216">
    <w:multiLevelType w:val="hybridMultilevel"/>
    <w:lvl w:ilvl="0" w:tplc="10569775">
      <w:start w:val="1"/>
      <w:numFmt w:val="decimal"/>
      <w:lvlText w:val="%1."/>
      <w:lvlJc w:val="left"/>
      <w:pPr>
        <w:ind w:left="720" w:hanging="360"/>
      </w:pPr>
    </w:lvl>
    <w:lvl w:ilvl="1" w:tplc="10569775" w:tentative="1">
      <w:start w:val="1"/>
      <w:numFmt w:val="lowerLetter"/>
      <w:lvlText w:val="%2."/>
      <w:lvlJc w:val="left"/>
      <w:pPr>
        <w:ind w:left="1440" w:hanging="360"/>
      </w:pPr>
    </w:lvl>
    <w:lvl w:ilvl="2" w:tplc="10569775" w:tentative="1">
      <w:start w:val="1"/>
      <w:numFmt w:val="lowerRoman"/>
      <w:lvlText w:val="%3."/>
      <w:lvlJc w:val="right"/>
      <w:pPr>
        <w:ind w:left="2160" w:hanging="180"/>
      </w:pPr>
    </w:lvl>
    <w:lvl w:ilvl="3" w:tplc="10569775" w:tentative="1">
      <w:start w:val="1"/>
      <w:numFmt w:val="decimal"/>
      <w:lvlText w:val="%4."/>
      <w:lvlJc w:val="left"/>
      <w:pPr>
        <w:ind w:left="2880" w:hanging="360"/>
      </w:pPr>
    </w:lvl>
    <w:lvl w:ilvl="4" w:tplc="10569775" w:tentative="1">
      <w:start w:val="1"/>
      <w:numFmt w:val="lowerLetter"/>
      <w:lvlText w:val="%5."/>
      <w:lvlJc w:val="left"/>
      <w:pPr>
        <w:ind w:left="3600" w:hanging="360"/>
      </w:pPr>
    </w:lvl>
    <w:lvl w:ilvl="5" w:tplc="10569775" w:tentative="1">
      <w:start w:val="1"/>
      <w:numFmt w:val="lowerRoman"/>
      <w:lvlText w:val="%6."/>
      <w:lvlJc w:val="right"/>
      <w:pPr>
        <w:ind w:left="4320" w:hanging="180"/>
      </w:pPr>
    </w:lvl>
    <w:lvl w:ilvl="6" w:tplc="10569775" w:tentative="1">
      <w:start w:val="1"/>
      <w:numFmt w:val="decimal"/>
      <w:lvlText w:val="%7."/>
      <w:lvlJc w:val="left"/>
      <w:pPr>
        <w:ind w:left="5040" w:hanging="360"/>
      </w:pPr>
    </w:lvl>
    <w:lvl w:ilvl="7" w:tplc="10569775" w:tentative="1">
      <w:start w:val="1"/>
      <w:numFmt w:val="lowerLetter"/>
      <w:lvlText w:val="%8."/>
      <w:lvlJc w:val="left"/>
      <w:pPr>
        <w:ind w:left="5760" w:hanging="360"/>
      </w:pPr>
    </w:lvl>
    <w:lvl w:ilvl="8" w:tplc="10569775" w:tentative="1">
      <w:start w:val="1"/>
      <w:numFmt w:val="lowerRoman"/>
      <w:lvlText w:val="%9."/>
      <w:lvlJc w:val="right"/>
      <w:pPr>
        <w:ind w:left="6480" w:hanging="180"/>
      </w:pPr>
    </w:lvl>
  </w:abstractNum>
  <w:abstractNum w:abstractNumId="74885445">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8061215">
    <w:multiLevelType w:val="hybridMultilevel"/>
    <w:lvl w:ilvl="0" w:tplc="75103258">
      <w:start w:val="1"/>
      <w:numFmt w:val="decimal"/>
      <w:lvlText w:val="%1."/>
      <w:lvlJc w:val="left"/>
      <w:pPr>
        <w:ind w:left="720" w:hanging="360"/>
      </w:pPr>
    </w:lvl>
    <w:lvl w:ilvl="1" w:tplc="75103258" w:tentative="1">
      <w:start w:val="1"/>
      <w:numFmt w:val="lowerLetter"/>
      <w:lvlText w:val="%2."/>
      <w:lvlJc w:val="left"/>
      <w:pPr>
        <w:ind w:left="1440" w:hanging="360"/>
      </w:pPr>
    </w:lvl>
    <w:lvl w:ilvl="2" w:tplc="75103258" w:tentative="1">
      <w:start w:val="1"/>
      <w:numFmt w:val="lowerRoman"/>
      <w:lvlText w:val="%3."/>
      <w:lvlJc w:val="right"/>
      <w:pPr>
        <w:ind w:left="2160" w:hanging="180"/>
      </w:pPr>
    </w:lvl>
    <w:lvl w:ilvl="3" w:tplc="75103258" w:tentative="1">
      <w:start w:val="1"/>
      <w:numFmt w:val="decimal"/>
      <w:lvlText w:val="%4."/>
      <w:lvlJc w:val="left"/>
      <w:pPr>
        <w:ind w:left="2880" w:hanging="360"/>
      </w:pPr>
    </w:lvl>
    <w:lvl w:ilvl="4" w:tplc="75103258" w:tentative="1">
      <w:start w:val="1"/>
      <w:numFmt w:val="lowerLetter"/>
      <w:lvlText w:val="%5."/>
      <w:lvlJc w:val="left"/>
      <w:pPr>
        <w:ind w:left="3600" w:hanging="360"/>
      </w:pPr>
    </w:lvl>
    <w:lvl w:ilvl="5" w:tplc="75103258" w:tentative="1">
      <w:start w:val="1"/>
      <w:numFmt w:val="lowerRoman"/>
      <w:lvlText w:val="%6."/>
      <w:lvlJc w:val="right"/>
      <w:pPr>
        <w:ind w:left="4320" w:hanging="180"/>
      </w:pPr>
    </w:lvl>
    <w:lvl w:ilvl="6" w:tplc="75103258" w:tentative="1">
      <w:start w:val="1"/>
      <w:numFmt w:val="decimal"/>
      <w:lvlText w:val="%7."/>
      <w:lvlJc w:val="left"/>
      <w:pPr>
        <w:ind w:left="5040" w:hanging="360"/>
      </w:pPr>
    </w:lvl>
    <w:lvl w:ilvl="7" w:tplc="75103258" w:tentative="1">
      <w:start w:val="1"/>
      <w:numFmt w:val="lowerLetter"/>
      <w:lvlText w:val="%8."/>
      <w:lvlJc w:val="left"/>
      <w:pPr>
        <w:ind w:left="5760" w:hanging="360"/>
      </w:pPr>
    </w:lvl>
    <w:lvl w:ilvl="8" w:tplc="75103258" w:tentative="1">
      <w:start w:val="1"/>
      <w:numFmt w:val="lowerRoman"/>
      <w:lvlText w:val="%9."/>
      <w:lvlJc w:val="right"/>
      <w:pPr>
        <w:ind w:left="6480" w:hanging="180"/>
      </w:pPr>
    </w:lvl>
  </w:abstractNum>
  <w:abstractNum w:abstractNumId="38061214">
    <w:multiLevelType w:val="hybridMultilevel"/>
    <w:lvl w:ilvl="0" w:tplc="569658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061214">
    <w:abstractNumId w:val="38061214"/>
  </w:num>
  <w:num w:numId="38061215">
    <w:abstractNumId w:val="38061215"/>
  </w:num>
  <w:num w:numId="74885445">
    <w:abstractNumId w:val="74885445"/>
  </w:num>
  <w:num w:numId="38061216">
    <w:abstractNumId w:val="38061216"/>
  </w:num>
  <w:num w:numId="804522540">
    <w:abstractNumId w:val="804522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349767786" Type="http://schemas.openxmlformats.org/officeDocument/2006/relationships/numbering" Target="numbering.xml"/><Relationship Id="rId303331046"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