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1250769" w:name="document"/>
    <w:bookmarkEnd w:id="31250769"/>
    <w:p/>
    <w:p>
      <w:pPr>
        <w:widowControl w:val="on"/>
        <w:pBdr/>
        <w:spacing w:before="0" w:after="280" w:line="240" w:lineRule="auto"/>
        <w:ind w:left="0" w:right="0"/>
        <w:jc w:val="left"/>
      </w:pPr>
      <w:r>
        <w:rPr>
          <w:rFonts w:ascii="Arial" w:hAnsi="Arial" w:eastAsia="Arial" w:cs="Arial"/>
          <w:color w:val="363A40"/>
          <w:sz w:val="24"/>
          <w:szCs w:val="24"/>
        </w:rPr>
        <w:t xml:space="preserve">Dokument-ID: 874954 | WEKA (red) - Albert
Scherzer - Sascha Jung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 </w:t>
      </w:r>
      <w:r>
        <w:rPr>
          <w:rFonts w:ascii="Arial" w:hAnsi="Arial" w:eastAsia="Arial" w:cs="Arial"/>
          <w:b/>
          <w:bCs/>
          <w:color w:val="363A40"/>
          <w:sz w:val="28"/>
          <w:szCs w:val="28"/>
        </w:rPr>
        <w:t xml:space="preserve">Vertragsgegenstand</w:t>
      </w:r>
      <w:bookmarkStart w:id="71506450" w:name="link1"/>
      <w:bookmarkEnd w:id="71506450"/>
      <w:hyperlink w:anchor="note1" w:history="1">
        <w:r>
          <w:rPr>
            <w:rFonts w:ascii="Arial" w:hAnsi="Arial" w:eastAsia="Arial" w:cs="Arial"/>
            <w:b/>
            <w:bCs/>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91609772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91609772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91609772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91609772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91609772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96385435" w:name="link2"/>
            <w:bookmarkEnd w:id="96385435"/>
            <w:hyperlink w:anchor="note2" w:history="1">
              <w:r>
                <w:rPr>
                  <w:rFonts w:ascii="Arial" w:hAnsi="Arial" w:eastAsia="Arial" w:cs="Arial"/>
                  <w:b/>
                  <w:bCs/>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4 </w:t>
      </w:r>
      <w:r>
        <w:rPr>
          <w:rFonts w:ascii="Arial" w:hAnsi="Arial" w:eastAsia="Arial" w:cs="Arial"/>
          <w:b/>
          <w:bCs/>
          <w:color w:val="363A40"/>
          <w:sz w:val="28"/>
          <w:szCs w:val="28"/>
        </w:rPr>
        <w:t xml:space="preserve">Mitwirkungspflichten</w:t>
      </w:r>
      <w:bookmarkStart w:id="77566691" w:name="link3"/>
      <w:bookmarkEnd w:id="77566691"/>
      <w:hyperlink w:anchor="note3" w:history="1">
        <w:r>
          <w:rPr>
            <w:rFonts w:ascii="Arial" w:hAnsi="Arial" w:eastAsia="Arial" w:cs="Arial"/>
            <w:b/>
            <w:bCs/>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1910505" w:name="note1"/>
            <w:bookmarkEnd w:id="91910505"/>
            <w:bookmarkStart w:id="384913379899" w:name="note1"/>
            <w:r>
              <w:rPr>
                <w:rFonts w:ascii="Arial" w:hAnsi="Arial" w:eastAsia="Arial" w:cs="Arial"/>
                <w:b/>
                <w:bCs/>
                <w:color w:val="000000"/>
                <w:position w:val="0"/>
                <w:sz w:val="20"/>
                <w:szCs w:val="20"/>
              </w:rPr>
              <w:t xml:space="preserve">[1]</w:t>
            </w:r>
            <w:bookmarkEnd w:id="38491337989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6750442" w:name="note2"/>
            <w:bookmarkEnd w:id="26750442"/>
            <w:bookmarkStart w:id="4330268252460" w:name="note2"/>
            <w:r>
              <w:rPr>
                <w:rFonts w:ascii="Arial" w:hAnsi="Arial" w:eastAsia="Arial" w:cs="Arial"/>
                <w:b/>
                <w:bCs/>
                <w:color w:val="000000"/>
                <w:position w:val="0"/>
                <w:sz w:val="20"/>
                <w:szCs w:val="20"/>
              </w:rPr>
              <w:t xml:space="preserve">[2]</w:t>
            </w:r>
            <w:bookmarkEnd w:id="4330268252460"/>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42737717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42737717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42737717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42737717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3642834" w:name="note3"/>
            <w:bookmarkEnd w:id="13642834"/>
            <w:bookmarkStart w:id="3228383513833" w:name="note3"/>
            <w:r>
              <w:rPr>
                <w:rFonts w:ascii="Arial" w:hAnsi="Arial" w:eastAsia="Arial" w:cs="Arial"/>
                <w:b/>
                <w:bCs/>
                <w:color w:val="000000"/>
                <w:position w:val="0"/>
                <w:sz w:val="20"/>
                <w:szCs w:val="20"/>
              </w:rPr>
              <w:t xml:space="preserve">[3]</w:t>
            </w:r>
            <w:bookmarkEnd w:id="322838351383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b/>
                <w:bCs/>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37717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16097722">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66375296">
    <w:multiLevelType w:val="hybridMultilevel"/>
    <w:lvl w:ilvl="0" w:tplc="79583917">
      <w:start w:val="1"/>
      <w:numFmt w:val="decimal"/>
      <w:lvlText w:val="%1."/>
      <w:lvlJc w:val="left"/>
      <w:pPr>
        <w:ind w:left="720" w:hanging="360"/>
      </w:pPr>
    </w:lvl>
    <w:lvl w:ilvl="1" w:tplc="79583917" w:tentative="1">
      <w:start w:val="1"/>
      <w:numFmt w:val="lowerLetter"/>
      <w:lvlText w:val="%2."/>
      <w:lvlJc w:val="left"/>
      <w:pPr>
        <w:ind w:left="1440" w:hanging="360"/>
      </w:pPr>
    </w:lvl>
    <w:lvl w:ilvl="2" w:tplc="79583917" w:tentative="1">
      <w:start w:val="1"/>
      <w:numFmt w:val="lowerRoman"/>
      <w:lvlText w:val="%3."/>
      <w:lvlJc w:val="right"/>
      <w:pPr>
        <w:ind w:left="2160" w:hanging="180"/>
      </w:pPr>
    </w:lvl>
    <w:lvl w:ilvl="3" w:tplc="79583917" w:tentative="1">
      <w:start w:val="1"/>
      <w:numFmt w:val="decimal"/>
      <w:lvlText w:val="%4."/>
      <w:lvlJc w:val="left"/>
      <w:pPr>
        <w:ind w:left="2880" w:hanging="360"/>
      </w:pPr>
    </w:lvl>
    <w:lvl w:ilvl="4" w:tplc="79583917" w:tentative="1">
      <w:start w:val="1"/>
      <w:numFmt w:val="lowerLetter"/>
      <w:lvlText w:val="%5."/>
      <w:lvlJc w:val="left"/>
      <w:pPr>
        <w:ind w:left="3600" w:hanging="360"/>
      </w:pPr>
    </w:lvl>
    <w:lvl w:ilvl="5" w:tplc="79583917" w:tentative="1">
      <w:start w:val="1"/>
      <w:numFmt w:val="lowerRoman"/>
      <w:lvlText w:val="%6."/>
      <w:lvlJc w:val="right"/>
      <w:pPr>
        <w:ind w:left="4320" w:hanging="180"/>
      </w:pPr>
    </w:lvl>
    <w:lvl w:ilvl="6" w:tplc="79583917" w:tentative="1">
      <w:start w:val="1"/>
      <w:numFmt w:val="decimal"/>
      <w:lvlText w:val="%7."/>
      <w:lvlJc w:val="left"/>
      <w:pPr>
        <w:ind w:left="5040" w:hanging="360"/>
      </w:pPr>
    </w:lvl>
    <w:lvl w:ilvl="7" w:tplc="79583917" w:tentative="1">
      <w:start w:val="1"/>
      <w:numFmt w:val="lowerLetter"/>
      <w:lvlText w:val="%8."/>
      <w:lvlJc w:val="left"/>
      <w:pPr>
        <w:ind w:left="5760" w:hanging="360"/>
      </w:pPr>
    </w:lvl>
    <w:lvl w:ilvl="8" w:tplc="79583917" w:tentative="1">
      <w:start w:val="1"/>
      <w:numFmt w:val="lowerRoman"/>
      <w:lvlText w:val="%9."/>
      <w:lvlJc w:val="right"/>
      <w:pPr>
        <w:ind w:left="6480" w:hanging="180"/>
      </w:pPr>
    </w:lvl>
  </w:abstractNum>
  <w:abstractNum w:abstractNumId="14937371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89624442">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66375295">
    <w:multiLevelType w:val="hybridMultilevel"/>
    <w:lvl w:ilvl="0" w:tplc="47988122">
      <w:start w:val="1"/>
      <w:numFmt w:val="decimal"/>
      <w:lvlText w:val="%1."/>
      <w:lvlJc w:val="left"/>
      <w:pPr>
        <w:ind w:left="720" w:hanging="360"/>
      </w:pPr>
    </w:lvl>
    <w:lvl w:ilvl="1" w:tplc="47988122" w:tentative="1">
      <w:start w:val="1"/>
      <w:numFmt w:val="lowerLetter"/>
      <w:lvlText w:val="%2."/>
      <w:lvlJc w:val="left"/>
      <w:pPr>
        <w:ind w:left="1440" w:hanging="360"/>
      </w:pPr>
    </w:lvl>
    <w:lvl w:ilvl="2" w:tplc="47988122" w:tentative="1">
      <w:start w:val="1"/>
      <w:numFmt w:val="lowerRoman"/>
      <w:lvlText w:val="%3."/>
      <w:lvlJc w:val="right"/>
      <w:pPr>
        <w:ind w:left="2160" w:hanging="180"/>
      </w:pPr>
    </w:lvl>
    <w:lvl w:ilvl="3" w:tplc="47988122" w:tentative="1">
      <w:start w:val="1"/>
      <w:numFmt w:val="decimal"/>
      <w:lvlText w:val="%4."/>
      <w:lvlJc w:val="left"/>
      <w:pPr>
        <w:ind w:left="2880" w:hanging="360"/>
      </w:pPr>
    </w:lvl>
    <w:lvl w:ilvl="4" w:tplc="47988122" w:tentative="1">
      <w:start w:val="1"/>
      <w:numFmt w:val="lowerLetter"/>
      <w:lvlText w:val="%5."/>
      <w:lvlJc w:val="left"/>
      <w:pPr>
        <w:ind w:left="3600" w:hanging="360"/>
      </w:pPr>
    </w:lvl>
    <w:lvl w:ilvl="5" w:tplc="47988122" w:tentative="1">
      <w:start w:val="1"/>
      <w:numFmt w:val="lowerRoman"/>
      <w:lvlText w:val="%6."/>
      <w:lvlJc w:val="right"/>
      <w:pPr>
        <w:ind w:left="4320" w:hanging="180"/>
      </w:pPr>
    </w:lvl>
    <w:lvl w:ilvl="6" w:tplc="47988122" w:tentative="1">
      <w:start w:val="1"/>
      <w:numFmt w:val="decimal"/>
      <w:lvlText w:val="%7."/>
      <w:lvlJc w:val="left"/>
      <w:pPr>
        <w:ind w:left="5040" w:hanging="360"/>
      </w:pPr>
    </w:lvl>
    <w:lvl w:ilvl="7" w:tplc="47988122" w:tentative="1">
      <w:start w:val="1"/>
      <w:numFmt w:val="lowerLetter"/>
      <w:lvlText w:val="%8."/>
      <w:lvlJc w:val="left"/>
      <w:pPr>
        <w:ind w:left="5760" w:hanging="360"/>
      </w:pPr>
    </w:lvl>
    <w:lvl w:ilvl="8" w:tplc="47988122" w:tentative="1">
      <w:start w:val="1"/>
      <w:numFmt w:val="lowerRoman"/>
      <w:lvlText w:val="%9."/>
      <w:lvlJc w:val="right"/>
      <w:pPr>
        <w:ind w:left="6480" w:hanging="180"/>
      </w:pPr>
    </w:lvl>
  </w:abstractNum>
  <w:abstractNum w:abstractNumId="66375294">
    <w:multiLevelType w:val="hybridMultilevel"/>
    <w:lvl w:ilvl="0" w:tplc="66097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75294">
    <w:abstractNumId w:val="66375294"/>
  </w:num>
  <w:num w:numId="66375295">
    <w:abstractNumId w:val="66375295"/>
  </w:num>
  <w:num w:numId="389624442">
    <w:abstractNumId w:val="389624442"/>
  </w:num>
  <w:num w:numId="149373717">
    <w:abstractNumId w:val="149373717"/>
  </w:num>
  <w:num w:numId="66375296">
    <w:abstractNumId w:val="66375296"/>
  </w:num>
  <w:num w:numId="916097722">
    <w:abstractNumId w:val="916097722"/>
  </w:num>
  <w:num w:numId="427377173">
    <w:abstractNumId w:val="4273771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71241587" Type="http://schemas.openxmlformats.org/officeDocument/2006/relationships/numbering" Target="numbering.xml"/><Relationship Id="rId73238778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