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684530" w:name="document"/>
    <w:bookmarkEnd w:id="42684530"/>
    <w:p/>
    <w:p>
      <w:pPr>
        <w:widowControl w:val="on"/>
        <w:pBdr/>
        <w:spacing w:before="0" w:after="280" w:line="240" w:lineRule="auto"/>
        <w:ind w:left="0" w:right="0"/>
        <w:jc w:val="left"/>
      </w:pPr>
      <w:r>
        <w:rPr>
          <w:rFonts w:ascii="Arial" w:hAnsi="Arial" w:eastAsia="Arial" w:cs="Arial"/>
          <w:color w:val="363A40"/>
          <w:sz w:val="24"/>
          <w:szCs w:val="24"/>
        </w:rPr>
        <w:t xml:space="preserve">Dokument-ID: 799620 | Wolfgang List - Fiona
Aurelia List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Devolutionsantrag</w:t>
      </w:r>
    </w:p>
    <w:p>
      <w:pPr>
        <w:widowControl w:val="on"/>
        <w:pBdr/>
        <w:spacing w:before="140" w:after="240" w:line="288" w:lineRule="auto"/>
        <w:ind w:left="0" w:right="0"/>
        <w:jc w:val="left"/>
      </w:pPr>
      <w:r>
        <w:rPr>
          <w:rFonts w:ascii="Arial" w:hAnsi="Arial" w:eastAsia="Arial" w:cs="Arial"/>
          <w:color w:val="000000"/>
          <w:sz w:val="20"/>
          <w:szCs w:val="20"/>
        </w:rPr>
        <w:t xml:space="preserve">Einfallsreich Rechtsanwalts GmbH</w:t>
      </w:r>
      <w:r>
        <w:rPr>
          <w:rFonts w:ascii="Arial" w:hAnsi="Arial" w:eastAsia="Arial" w:cs="Arial"/>
          <w:color w:val="000000"/>
          <w:sz w:val="20"/>
          <w:szCs w:val="20"/>
        </w:rPr>
        <w:br/>
        <w:t xml:space="preserve">Dr. Einfallsreich</w:t>
      </w:r>
      <w:r>
        <w:rPr>
          <w:rFonts w:ascii="Arial" w:hAnsi="Arial" w:eastAsia="Arial" w:cs="Arial"/>
          <w:color w:val="000000"/>
          <w:sz w:val="20"/>
          <w:szCs w:val="20"/>
        </w:rPr>
        <w:br/>
        <w:t xml:space="preserve">Rechtsanwalt</w:t>
      </w:r>
      <w:r>
        <w:rPr>
          <w:rFonts w:ascii="Arial" w:hAnsi="Arial" w:eastAsia="Arial" w:cs="Arial"/>
          <w:color w:val="000000"/>
          <w:sz w:val="20"/>
          <w:szCs w:val="20"/>
        </w:rPr>
        <w:br/>
        <w:t xml:space="preserve">Obere Gedankenstraße 36</w:t>
      </w:r>
      <w:r>
        <w:rPr>
          <w:rFonts w:ascii="Arial" w:hAnsi="Arial" w:eastAsia="Arial" w:cs="Arial"/>
          <w:color w:val="000000"/>
          <w:sz w:val="20"/>
          <w:szCs w:val="20"/>
        </w:rPr>
        <w:br/>
        <w:t xml:space="preserve">502340 Flinkhoven</w: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den</w:t>
      </w:r>
      <w:r>
        <w:rPr>
          <w:rFonts w:ascii="Arial" w:hAnsi="Arial" w:eastAsia="Arial" w:cs="Arial"/>
          <w:color w:val="000000"/>
          <w:sz w:val="20"/>
          <w:szCs w:val="20"/>
        </w:rPr>
        <w:br/>
        <w:t xml:space="preserve">Gemeinderat</w:t>
      </w:r>
      <w:bookmarkStart w:id="79092807" w:name="link1"/>
      <w:bookmarkEnd w:id="79092807"/>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der
Marktgemeinde TUTNIX</w:t>
      </w:r>
      <w:r>
        <w:rPr>
          <w:rFonts w:ascii="Arial" w:hAnsi="Arial" w:eastAsia="Arial" w:cs="Arial"/>
          <w:color w:val="000000"/>
          <w:sz w:val="20"/>
          <w:szCs w:val="20"/>
        </w:rPr>
        <w:br/>
        <w:t xml:space="preserve">Hauptstraße 1</w:t>
      </w:r>
      <w:r>
        <w:rPr>
          <w:rFonts w:ascii="Arial" w:hAnsi="Arial" w:eastAsia="Arial" w:cs="Arial"/>
          <w:color w:val="000000"/>
          <w:sz w:val="20"/>
          <w:szCs w:val="20"/>
        </w:rPr>
        <w:br/>
        <w:t xml:space="preserve">2222 TUTNIX</w:t>
      </w:r>
    </w:p>
    <w:p>
      <w:pPr>
        <w:widowControl w:val="on"/>
        <w:pBdr/>
        <w:spacing w:before="140" w:after="240" w:line="288" w:lineRule="auto"/>
        <w:ind w:left="0" w:right="0"/>
        <w:jc w:val="right"/>
      </w:pPr>
      <w:r>
        <w:rPr>
          <w:rFonts w:ascii="Arial" w:hAnsi="Arial" w:eastAsia="Arial" w:cs="Arial"/>
          <w:color w:val="000000"/>
          <w:sz w:val="20"/>
          <w:szCs w:val="20"/>
        </w:rPr>
        <w:t xml:space="preserve">Wien, am 18. August 2021</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numPr>
                <w:ilvl w:val="0"/>
                <w:numId w:val="27664255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Maria Bauhaus</w:t>
            </w:r>
            <w:r>
              <w:rPr>
                <w:rFonts w:ascii="Arial" w:hAnsi="Arial" w:eastAsia="Arial" w:cs="Arial"/>
                <w:color w:val="000000"/>
                <w:position w:val="0"/>
                <w:sz w:val="20"/>
                <w:szCs w:val="20"/>
                <w:shd w:val="clear" w:color="auto" w:fill="FFFFFF"/>
              </w:rPr>
              <w:br/>
              <w:t xml:space="preserve">Baustelle 5</w:t>
            </w:r>
            <w:r>
              <w:rPr>
                <w:rFonts w:ascii="Arial" w:hAnsi="Arial" w:eastAsia="Arial" w:cs="Arial"/>
                <w:color w:val="000000"/>
                <w:position w:val="0"/>
                <w:sz w:val="20"/>
                <w:szCs w:val="20"/>
                <w:shd w:val="clear" w:color="auto" w:fill="FFFFFF"/>
              </w:rPr>
              <w:br/>
              <w:t xml:space="preserve">2222 TUTNIX</w:t>
            </w:r>
          </w:p>
          <w:p>
            <w:pPr>
              <w:numPr>
                <w:ilvl w:val="0"/>
                <w:numId w:val="27664255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Gerald Bauhaus</w:t>
            </w:r>
            <w:r>
              <w:rPr>
                <w:rFonts w:ascii="Arial" w:hAnsi="Arial" w:eastAsia="Arial" w:cs="Arial"/>
                <w:color w:val="000000"/>
                <w:position w:val="0"/>
                <w:sz w:val="20"/>
                <w:szCs w:val="20"/>
                <w:shd w:val="clear" w:color="auto" w:fill="FFFFFF"/>
              </w:rPr>
              <w:br/>
              <w:t xml:space="preserve">Baustelle 5</w:t>
            </w:r>
            <w:r>
              <w:rPr>
                <w:rFonts w:ascii="Arial" w:hAnsi="Arial" w:eastAsia="Arial" w:cs="Arial"/>
                <w:color w:val="000000"/>
                <w:position w:val="0"/>
                <w:sz w:val="20"/>
                <w:szCs w:val="20"/>
                <w:shd w:val="clear" w:color="auto" w:fill="FFFFFF"/>
              </w:rPr>
              <w:br/>
              <w:t xml:space="preserve">2222 TUTNIX</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Einfallsreich Rechtsanwalts GmbH</w:t>
            </w:r>
            <w:r>
              <w:rPr>
                <w:rFonts w:ascii="Arial" w:hAnsi="Arial" w:eastAsia="Arial" w:cs="Arial"/>
                <w:color w:val="000000"/>
                <w:position w:val="0"/>
                <w:sz w:val="20"/>
                <w:szCs w:val="20"/>
                <w:shd w:val="clear" w:color="auto" w:fill="FFFFFF"/>
              </w:rPr>
              <w:br/>
              <w:t xml:space="preserve">Dr. Einfallsreich</w:t>
            </w:r>
            <w:r>
              <w:rPr>
                <w:rFonts w:ascii="Arial" w:hAnsi="Arial" w:eastAsia="Arial" w:cs="Arial"/>
                <w:color w:val="000000"/>
                <w:position w:val="0"/>
                <w:sz w:val="20"/>
                <w:szCs w:val="20"/>
                <w:shd w:val="clear" w:color="auto" w:fill="FFFFFF"/>
              </w:rPr>
              <w:br/>
              <w:t xml:space="preserve">Baustelle 10</w:t>
            </w:r>
            <w:r>
              <w:rPr>
                <w:rFonts w:ascii="Arial" w:hAnsi="Arial" w:eastAsia="Arial" w:cs="Arial"/>
                <w:color w:val="000000"/>
                <w:position w:val="0"/>
                <w:sz w:val="20"/>
                <w:szCs w:val="20"/>
                <w:shd w:val="clear" w:color="auto" w:fill="FFFFFF"/>
              </w:rPr>
              <w:br/>
              <w:t xml:space="preserve">2222 TUTNIX</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Devolutionsantrag gem § 73
Abs 2 AVG</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 haben mit Antrag vom 17.07.2020 die
baubehördliche Bewilligung zur Errichtung eines
Mehrfamilienwohnhauses für sechs Wohnungen auf dem Grundstück
Nr 11/3 der Liegenschaft EZ 911, KG 2222 TUTNIX, Wohnstraße
40, bei der Marktgemeinde TUTNIX beantragt.</w:t>
      </w:r>
    </w:p>
    <w:p>
      <w:pPr>
        <w:widowControl w:val="on"/>
        <w:pBdr/>
        <w:spacing w:before="140" w:after="240" w:line="288" w:lineRule="auto"/>
        <w:ind w:left="0" w:right="0"/>
        <w:jc w:val="left"/>
      </w:pPr>
      <w:r>
        <w:rPr>
          <w:rFonts w:ascii="Arial" w:hAnsi="Arial" w:eastAsia="Arial" w:cs="Arial"/>
          <w:color w:val="000000"/>
          <w:sz w:val="20"/>
          <w:szCs w:val="20"/>
        </w:rPr>
        <w:t xml:space="preserve">Nach mehreren Rechtsmittelentscheidungen entschied die
Landesregierung mit ihrem Bescheid vom 26.08.2021, über die
Einwendungen der Nachbarn Hildegard und Franz Störtmich, beide
wohnhaft 2222 TUTNIX, Wohnstraße 42. Der besagte Bescheid wurde mit
Erkenntnis des VwGH wegen Rechtswidrigkeit seines Inhaltes
aufgehoben.</w:t>
      </w:r>
    </w:p>
    <w:p>
      <w:pPr>
        <w:widowControl w:val="on"/>
        <w:pBdr/>
        <w:spacing w:before="140" w:after="240" w:line="288" w:lineRule="auto"/>
        <w:ind w:left="0" w:right="0"/>
        <w:jc w:val="left"/>
      </w:pPr>
      <w:r>
        <w:rPr>
          <w:rFonts w:ascii="Arial" w:hAnsi="Arial" w:eastAsia="Arial" w:cs="Arial"/>
          <w:color w:val="000000"/>
          <w:sz w:val="20"/>
          <w:szCs w:val="20"/>
        </w:rPr>
        <w:t xml:space="preserve">Mit Bescheid der Landesregierung vom 19.04.2021 entschied diese
neuerlich über die Vorstellung der Nachbarn und gab der Vorstellung
diesmal Folge, hob den Bescheid des Gemeindevorstands der
Marktgemeinde TUTNIX auf und verwies die Sache zur neuerlichen
Entscheidung an die Marktgemeinde TUTNIX zurück.</w:t>
      </w:r>
    </w:p>
    <w:p>
      <w:pPr>
        <w:widowControl w:val="on"/>
        <w:pBdr/>
        <w:spacing w:before="140" w:after="240" w:line="288" w:lineRule="auto"/>
        <w:ind w:left="0" w:right="0"/>
        <w:jc w:val="left"/>
      </w:pPr>
      <w:r>
        <w:rPr>
          <w:rFonts w:ascii="Arial" w:hAnsi="Arial" w:eastAsia="Arial" w:cs="Arial"/>
          <w:color w:val="000000"/>
          <w:sz w:val="20"/>
          <w:szCs w:val="20"/>
        </w:rPr>
        <w:t xml:space="preserve">Da die zur neuerlichen Entscheidung berufene Behörde, nämlich
der Gemeindevorstand der Marktgemeinde TUTNIX als Berufungsbehörde,
diese Entscheidung bis zum heutigen Tag nicht erlassen hat und der
Baubewilligungsantrag der Antragsteller somit bis heute unerledigt
geblieben </w:t>
      </w:r>
      <w:r>
        <w:rPr>
          <w:rFonts w:ascii="Arial" w:hAnsi="Arial" w:eastAsia="Arial" w:cs="Arial"/>
          <w:color w:val="000000"/>
          <w:sz w:val="20"/>
          <w:szCs w:val="20"/>
        </w:rPr>
        <w:t xml:space="preserve">ist,</w:t>
      </w:r>
      <w:bookmarkStart w:id="29474130" w:name="link2"/>
      <w:bookmarkEnd w:id="29474130"/>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stellen
diese durch ihren bevollmächtigten Vertreter gem § 73
Abs 2 AVG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Gemeinderat der Marktgemeinde TUTNIX als sachlich in
Betracht kommende Oberbehörde möge über den Antrag in der Sache
entscheiden und die baubehördliche Bewilligung zur Errichtung eines
Mehrfamilienwohnhauses für sechs Wohnungen erteilen.</w:t>
      </w:r>
    </w:p>
    <w:p>
      <w:pPr>
        <w:widowControl w:val="on"/>
        <w:pBdr/>
        <w:spacing w:before="140" w:after="240" w:line="288" w:lineRule="auto"/>
        <w:ind w:left="0" w:right="0"/>
        <w:jc w:val="left"/>
      </w:pPr>
      <w:r>
        <w:rPr>
          <w:rFonts w:ascii="Arial" w:hAnsi="Arial" w:eastAsia="Arial" w:cs="Arial"/>
          <w:color w:val="000000"/>
          <w:sz w:val="20"/>
          <w:szCs w:val="20"/>
        </w:rPr>
        <w:t xml:space="preserve">Dieser Antrag wird begründet 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Zulässigkeit des Devolutionsantrages und überwiegendes
behördliches Verschulden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73 Abs 1 AVG sind die Behörden verpflichtet,
wenn in den Verwaltungsvorschriften nicht anderes bestimmt ist,
über Anträge von Parteien (§ 8) und Berufungen </w:t>
            </w:r>
            <w:r>
              <w:rPr>
                <w:rFonts w:ascii="Arial" w:hAnsi="Arial" w:eastAsia="Arial" w:cs="Arial"/>
                <w:b/>
                <w:bCs/>
                <w:color w:val="000000"/>
                <w:position w:val="0"/>
                <w:sz w:val="20"/>
                <w:szCs w:val="20"/>
                <w:shd w:val="clear" w:color="auto" w:fill="FFFFFF"/>
              </w:rPr>
              <w:t xml:space="preserve">ohne
unnötigen Aufschub, spätestens aber sechs Monate</w:t>
            </w:r>
            <w:r>
              <w:rPr>
                <w:rFonts w:ascii="Arial" w:hAnsi="Arial" w:eastAsia="Arial" w:cs="Arial"/>
                <w:color w:val="000000"/>
                <w:position w:val="0"/>
                <w:sz w:val="20"/>
                <w:szCs w:val="20"/>
                <w:shd w:val="clear" w:color="auto" w:fill="FFFFFF"/>
              </w:rPr>
              <w:t xml:space="preserve"> nach
deren Einlangen den Bescheid zu erlassen. Gem § … Abs …
NN BauO hätte jedenfalls die Baubehörde 1. Instanz über Anträge
nach § … leg cit sogar binnen 3 Monaten zu </w:t>
            </w:r>
            <w:r>
              <w:rPr>
                <w:rFonts w:ascii="Arial" w:hAnsi="Arial" w:eastAsia="Arial" w:cs="Arial"/>
                <w:color w:val="000000"/>
                <w:position w:val="0"/>
                <w:sz w:val="20"/>
                <w:szCs w:val="20"/>
                <w:shd w:val="clear" w:color="auto" w:fill="FFFFFF"/>
              </w:rPr>
              <w:t xml:space="preserve">entscheiden.</w:t>
            </w:r>
            <w:bookmarkStart w:id="39112901" w:name="link3"/>
            <w:bookmarkEnd w:id="39112901"/>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73 Abs 2 AVG geht – wenn der Bescheid nicht
innerhalb der Entscheidungsfrist von höchstens 6 Monaten erlassen
wird – auf schriftlichen Devolutionsantrag der Partei die
Zuständigkeit zur Entscheidung auf die </w:t>
            </w:r>
            <w:r>
              <w:rPr>
                <w:rFonts w:ascii="Arial" w:hAnsi="Arial" w:eastAsia="Arial" w:cs="Arial"/>
                <w:b/>
                <w:bCs/>
                <w:color w:val="000000"/>
                <w:position w:val="0"/>
                <w:sz w:val="20"/>
                <w:szCs w:val="20"/>
                <w:shd w:val="clear" w:color="auto" w:fill="FFFFFF"/>
              </w:rPr>
              <w:t xml:space="preserve">sachlich in Betracht
kommende Oberbehörde</w:t>
            </w:r>
            <w:r>
              <w:rPr>
                <w:rFonts w:ascii="Arial" w:hAnsi="Arial" w:eastAsia="Arial" w:cs="Arial"/>
                <w:color w:val="000000"/>
                <w:position w:val="0"/>
                <w:sz w:val="20"/>
                <w:szCs w:val="20"/>
                <w:shd w:val="clear" w:color="auto" w:fill="FFFFFF"/>
              </w:rPr>
              <w:t xml:space="preserve"> </w:t>
            </w:r>
            <w:r>
              <w:rPr>
                <w:rFonts w:ascii="Arial" w:hAnsi="Arial" w:eastAsia="Arial" w:cs="Arial"/>
                <w:color w:val="000000"/>
                <w:position w:val="0"/>
                <w:sz w:val="20"/>
                <w:szCs w:val="20"/>
                <w:shd w:val="clear" w:color="auto" w:fill="FFFFFF"/>
              </w:rPr>
              <w:t xml:space="preserve">über.</w:t>
            </w:r>
            <w:bookmarkStart w:id="31120578" w:name="link4"/>
            <w:bookmarkEnd w:id="31120578"/>
            <w:hyperlink w:anchor="note4" w:history="1">
              <w:r>
                <w:rPr>
                  <w:rFonts w:ascii="Arial" w:hAnsi="Arial" w:eastAsia="Arial" w:cs="Arial"/>
                  <w:b/>
                  <w:bCs/>
                  <w:color w:val="006BB6"/>
                  <w:position w:val="4"/>
                  <w:sz w:val="22"/>
                  <w:szCs w:val="22"/>
                  <w:shd w:val="clear" w:color="auto" w:fill="FFFFFF"/>
                  <w:vertAlign w:val="superscript"/>
                </w:rPr>
                <w:t xml:space="preserve">4</w:t>
              </w:r>
            </w:hyperlink>
            <w:r>
              <w:rPr>
                <w:rFonts w:ascii="Arial" w:hAnsi="Arial" w:eastAsia="Arial" w:cs="Arial"/>
                <w:color w:val="000000"/>
                <w:position w:val="0"/>
                <w:sz w:val="20"/>
                <w:szCs w:val="20"/>
                <w:shd w:val="clear" w:color="auto" w:fill="FFFFFF"/>
              </w:rPr>
              <w:t xml:space="preserve"> Der Devolutionsantrag
ist bei der Oberbehörde einzubringen und lediglich abzuweisen, wenn
die Verzögerung nicht auf ein überwiegendes Verschulden der Behörde
zurückzuführen ist. Gem § 73 Abs 3 AVG beginnt für die
Oberbehörde selbst die Entscheidungsfrist mit dem Tag des
Einlangens des Devolutionsantrages zu laufen.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gegenständlichem Fall ist die </w:t>
            </w:r>
            <w:r>
              <w:rPr>
                <w:rFonts w:ascii="Arial" w:hAnsi="Arial" w:eastAsia="Arial" w:cs="Arial"/>
                <w:b/>
                <w:bCs/>
                <w:color w:val="000000"/>
                <w:position w:val="0"/>
                <w:sz w:val="20"/>
                <w:szCs w:val="20"/>
                <w:shd w:val="clear" w:color="auto" w:fill="FFFFFF"/>
              </w:rPr>
              <w:t xml:space="preserve">säumige Behörde der
Gemeindevorstand</w:t>
            </w:r>
            <w:r>
              <w:rPr>
                <w:rFonts w:ascii="Arial" w:hAnsi="Arial" w:eastAsia="Arial" w:cs="Arial"/>
                <w:color w:val="000000"/>
                <w:position w:val="0"/>
                <w:sz w:val="20"/>
                <w:szCs w:val="20"/>
                <w:shd w:val="clear" w:color="auto" w:fill="FFFFFF"/>
              </w:rPr>
              <w:t xml:space="preserve"> der Marktgemeinde TUTNIX als
Berufungsbehörde (Behörde II. Instanz).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 Abs … NN </w:t>
            </w:r>
            <w:r>
              <w:rPr>
                <w:rFonts w:ascii="Arial" w:hAnsi="Arial" w:eastAsia="Arial" w:cs="Arial"/>
                <w:color w:val="000000"/>
                <w:position w:val="0"/>
                <w:sz w:val="20"/>
                <w:szCs w:val="20"/>
                <w:shd w:val="clear" w:color="auto" w:fill="FFFFFF"/>
              </w:rPr>
              <w:t xml:space="preserve">BauO</w:t>
            </w:r>
            <w:bookmarkStart w:id="95411820" w:name="link5"/>
            <w:bookmarkEnd w:id="95411820"/>
            <w:hyperlink w:anchor="note5" w:history="1">
              <w:r>
                <w:rPr>
                  <w:rFonts w:ascii="Arial" w:hAnsi="Arial" w:eastAsia="Arial" w:cs="Arial"/>
                  <w:b/>
                  <w:bCs/>
                  <w:color w:val="006BB6"/>
                  <w:position w:val="4"/>
                  <w:sz w:val="22"/>
                  <w:szCs w:val="22"/>
                  <w:shd w:val="clear" w:color="auto" w:fill="FFFFFF"/>
                  <w:vertAlign w:val="superscript"/>
                </w:rPr>
                <w:t xml:space="preserve">5</w:t>
              </w:r>
            </w:hyperlink>
            <w:r>
              <w:rPr>
                <w:rFonts w:ascii="Arial" w:hAnsi="Arial" w:eastAsia="Arial" w:cs="Arial"/>
                <w:color w:val="000000"/>
                <w:position w:val="0"/>
                <w:sz w:val="20"/>
                <w:szCs w:val="20"/>
                <w:shd w:val="clear" w:color="auto" w:fill="FFFFFF"/>
              </w:rPr>
              <w:t xml:space="preserve"> ist Baubehörde 2.
Instanz der Gemeindevorstand, gem § 60 Abs 2 leg cit
übt diesem gegenüber die oberbehördlichen Befugnisse der
Gemeinderat aus. Sachlich in Betracht kommende
</w:t>
            </w:r>
            <w:r>
              <w:rPr>
                <w:rFonts w:ascii="Arial" w:hAnsi="Arial" w:eastAsia="Arial" w:cs="Arial"/>
                <w:b/>
                <w:bCs/>
                <w:color w:val="000000"/>
                <w:position w:val="0"/>
                <w:sz w:val="20"/>
                <w:szCs w:val="20"/>
                <w:shd w:val="clear" w:color="auto" w:fill="FFFFFF"/>
              </w:rPr>
              <w:t xml:space="preserve">Oberbehörde</w:t>
            </w:r>
            <w:r>
              <w:rPr>
                <w:rFonts w:ascii="Arial" w:hAnsi="Arial" w:eastAsia="Arial" w:cs="Arial"/>
                <w:color w:val="000000"/>
                <w:position w:val="0"/>
                <w:sz w:val="20"/>
                <w:szCs w:val="20"/>
                <w:shd w:val="clear" w:color="auto" w:fill="FFFFFF"/>
              </w:rPr>
              <w:t xml:space="preserve"> und daher zur Entscheidung über den
Devolutionsantrag berufen ist in diesem Fall daher der
</w:t>
            </w:r>
            <w:r>
              <w:rPr>
                <w:rFonts w:ascii="Arial" w:hAnsi="Arial" w:eastAsia="Arial" w:cs="Arial"/>
                <w:b/>
                <w:bCs/>
                <w:color w:val="000000"/>
                <w:position w:val="0"/>
                <w:sz w:val="20"/>
                <w:szCs w:val="20"/>
                <w:shd w:val="clear" w:color="auto" w:fill="FFFFFF"/>
              </w:rPr>
              <w:t xml:space="preserve">Gemeinderat</w:t>
            </w:r>
            <w:r>
              <w:rPr>
                <w:rFonts w:ascii="Arial" w:hAnsi="Arial" w:eastAsia="Arial" w:cs="Arial"/>
                <w:color w:val="000000"/>
                <w:position w:val="0"/>
                <w:sz w:val="20"/>
                <w:szCs w:val="20"/>
                <w:shd w:val="clear" w:color="auto" w:fill="FFFFFF"/>
              </w:rPr>
              <w:t xml:space="preserve"> der Marktgemeinde TUTNIX.</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Gemeindevorstand der Marktgemeinde TUTNIX hat seine
Entscheidungspflicht verletzt, indem er nicht binnen 6 Monaten ab
Zustellung des Zurückverweisungsbescheids der Landesregierung eine
Entscheidung getroffen hat. Bis zum heutigen Tag liegt keine
Entscheidung vor.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Begriff des </w:t>
            </w:r>
            <w:r>
              <w:rPr>
                <w:rFonts w:ascii="Arial" w:hAnsi="Arial" w:eastAsia="Arial" w:cs="Arial"/>
                <w:color w:val="000000"/>
                <w:position w:val="0"/>
                <w:sz w:val="20"/>
                <w:szCs w:val="20"/>
                <w:shd w:val="clear" w:color="auto" w:fill="FFFFFF"/>
              </w:rPr>
              <w:t xml:space="preserve">Verschuldens</w:t>
            </w:r>
            <w:bookmarkStart w:id="87100674" w:name="link6"/>
            <w:bookmarkEnd w:id="87100674"/>
            <w:hyperlink w:anchor="note6" w:history="1">
              <w:r>
                <w:rPr>
                  <w:rFonts w:ascii="Arial" w:hAnsi="Arial" w:eastAsia="Arial" w:cs="Arial"/>
                  <w:b/>
                  <w:bCs/>
                  <w:color w:val="006BB6"/>
                  <w:position w:val="4"/>
                  <w:sz w:val="22"/>
                  <w:szCs w:val="22"/>
                  <w:shd w:val="clear" w:color="auto" w:fill="FFFFFF"/>
                  <w:vertAlign w:val="superscript"/>
                </w:rPr>
                <w:t xml:space="preserve">6</w:t>
              </w:r>
            </w:hyperlink>
            <w:r>
              <w:rPr>
                <w:rFonts w:ascii="Arial" w:hAnsi="Arial" w:eastAsia="Arial" w:cs="Arial"/>
                <w:color w:val="000000"/>
                <w:position w:val="0"/>
                <w:sz w:val="20"/>
                <w:szCs w:val="20"/>
                <w:shd w:val="clear" w:color="auto" w:fill="FFFFFF"/>
              </w:rPr>
              <w:t xml:space="preserve"> der Behörde ist objektiv zu verstehen (VwGH
31.3.1992, 92/07/0053), weshalb eine Überlastung oder etwa die
Komplexität der Sache nicht ausschlaggebend dafür sein können, dass
eine Behörde kein Verschulden trifft. Von einer Komplexität kann in
gegenständlichem Fall aber ohnedies nicht die Rede sein, da die
entscheidenden Gutachten lediglich zu ergänzen waren und die
vorliegenden Gutachten eindeutig zugunsten der Antragsteller
sind.</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Gemeinderat der Marktgemeinde TUTNIX möge daher als sachlich
in Betracht kommende Oberbehörde antragsgemäß entscheiden.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Maria Bauhaus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Gerald Bauhaus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986068" w:name="note1"/>
            <w:bookmarkEnd w:id="62986068"/>
            <w:bookmarkStart w:id="9629131190739" w:name="note1"/>
            <w:r>
              <w:rPr>
                <w:rFonts w:ascii="Arial" w:hAnsi="Arial" w:eastAsia="Arial" w:cs="Arial"/>
                <w:b/>
                <w:bCs/>
                <w:color w:val="000000"/>
                <w:position w:val="0"/>
                <w:sz w:val="20"/>
                <w:szCs w:val="20"/>
              </w:rPr>
              <w:t xml:space="preserve">[1]</w:t>
            </w:r>
            <w:bookmarkEnd w:id="962913119073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VwGH ist zur Entscheidung über einen Devolutionsantrag nach
§ 73 AVG nicht zuständig. Im Übrigen kommt seit der
Verwaltungsgerichtsbarkeits-Novelle 2012 ein Devolutionsantrag (auf
Übergang der Zuständigkeit zur Entscheidung auf eine administrative
Berufungsbehörde) nur mehr in den Angelegenheiten des eigenen
Wirkungsbereichs der Gemeinde, wo für ein administratives
Berufungsverfahren noch Platz ist, zum Tragen (VwGH Ra
2021/06/0014).</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1369110" w:name="note2"/>
            <w:bookmarkEnd w:id="91369110"/>
            <w:bookmarkStart w:id="5485109761450" w:name="note2"/>
            <w:r>
              <w:rPr>
                <w:rFonts w:ascii="Arial" w:hAnsi="Arial" w:eastAsia="Arial" w:cs="Arial"/>
                <w:b/>
                <w:bCs/>
                <w:color w:val="000000"/>
                <w:position w:val="0"/>
                <w:sz w:val="20"/>
                <w:szCs w:val="20"/>
              </w:rPr>
              <w:t xml:space="preserve">[2]</w:t>
            </w:r>
            <w:bookmarkEnd w:id="54851097614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Weiterleitung eines Anbringens bewirkt das Erlöschen der
Entscheidungspflicht der abtretenden Behörde, hat sie doch durch
diesen Verwaltungsakt – wenn auch nicht bindend – eine im Gesetz
vorgesehene Verfügung über den Antrag getroffen, die ihrem Wesen
nach notwendig die Annahme des Weiterbestehens ihrer
Entscheidungspflicht ausschließt. Dies gilt sinngemäß für die
Weiterleitung durch das Verwaltungsgericht (VwGH Fr
2019/01/0016).</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5355922" w:name="note3"/>
            <w:bookmarkEnd w:id="95355922"/>
            <w:bookmarkStart w:id="8801391558693" w:name="note3"/>
            <w:r>
              <w:rPr>
                <w:rFonts w:ascii="Arial" w:hAnsi="Arial" w:eastAsia="Arial" w:cs="Arial"/>
                <w:b/>
                <w:bCs/>
                <w:color w:val="000000"/>
                <w:position w:val="0"/>
                <w:sz w:val="20"/>
                <w:szCs w:val="20"/>
              </w:rPr>
              <w:t xml:space="preserve">[3]</w:t>
            </w:r>
            <w:bookmarkEnd w:id="88013915586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Entscheidungspflicht iSd § 73 Abs 1 AVG, deren
Verletzung gegebenenfalls zur Erhebung eines Devolutionsantrages
berechtigt, setzt einen Antrag einer Partei im Verwaltungsverfahren
voraus. Ein Antrag ist grundsätzlich ein Anbringen, das auf die
Erlassung eines Bescheides gerichtet ist. Auch über Anträge, die
unzulässig sind, etwa mangels Legitimation, hat die Behörde durch –
zurückweisenden – Bescheid zu entscheiden. Ein Erledigungsanspruch
besteht also grundsätzlich unabhängig vom Inhalt der zu treffenden
Entscheidung, ist demgemäß unabhängig davon, ob die Erledigung eine
meritorische, also eine (stattgebende oder ablehnende)
Sachentscheidung zu sein hat, oder bloß in einer
verfahrensrechtlichen Entscheidung, etwa einer Zurückweisung,
besteht (VwGH Ra 2020/03/0120).</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17250" w:name="note4"/>
            <w:bookmarkEnd w:id="1317250"/>
            <w:bookmarkStart w:id="9693491181857" w:name="note4"/>
            <w:r>
              <w:rPr>
                <w:rFonts w:ascii="Arial" w:hAnsi="Arial" w:eastAsia="Arial" w:cs="Arial"/>
                <w:b/>
                <w:bCs/>
                <w:color w:val="000000"/>
                <w:position w:val="0"/>
                <w:sz w:val="20"/>
                <w:szCs w:val="20"/>
              </w:rPr>
              <w:t xml:space="preserve">[4]</w:t>
            </w:r>
            <w:bookmarkEnd w:id="96934911818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Anders als in § 73 Abs 2 AVG wird im VwGVG nicht
normiert, dass schon mit der Antragstellung die Zuständigkeit, die
fragliche Sache zu erledigen, auf das angerufene VwG übergeht.
Vielmehr räumt § 16 Abs 1 VwGVG der Verwaltungsbehörde
die Möglichkeit ein, innerhalb einer Frist von drei Monaten den
Bescheid zu erlassen (VwGH Ra 2020/13/0088).</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973548" w:name="note5"/>
            <w:bookmarkEnd w:id="13973548"/>
            <w:bookmarkStart w:id="130201390236" w:name="note5"/>
            <w:r>
              <w:rPr>
                <w:rFonts w:ascii="Arial" w:hAnsi="Arial" w:eastAsia="Arial" w:cs="Arial"/>
                <w:b/>
                <w:bCs/>
                <w:color w:val="000000"/>
                <w:position w:val="0"/>
                <w:sz w:val="20"/>
                <w:szCs w:val="20"/>
              </w:rPr>
              <w:t xml:space="preserve">[5]</w:t>
            </w:r>
            <w:bookmarkEnd w:id="1302013902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dieser Stelle ist die jeweils richtige landesgesetzliche Norm
zu zitieren.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112475" w:name="note6"/>
            <w:bookmarkEnd w:id="57112475"/>
            <w:bookmarkStart w:id="7954465523305" w:name="note6"/>
            <w:r>
              <w:rPr>
                <w:rFonts w:ascii="Arial" w:hAnsi="Arial" w:eastAsia="Arial" w:cs="Arial"/>
                <w:b/>
                <w:bCs/>
                <w:color w:val="000000"/>
                <w:position w:val="0"/>
                <w:sz w:val="20"/>
                <w:szCs w:val="20"/>
              </w:rPr>
              <w:t xml:space="preserve">[6]</w:t>
            </w:r>
            <w:bookmarkEnd w:id="79544655233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Frage, ob die Behörde in einem konkreten Fall ein
überwiegendes Verschulden an der Verzögerung der
Verfahrenserledigung trifft, ist anhand der Umstände des
Einzelfalles zu prüfen. Diese Frage unterliegt somit – als Ergebnis
einer alle maßgeblichen Umstände des Einzelfalles
berücksichtigenden Abwägung – grundsätzlich der einzelfallbezogenen
Beurteilung (VwGH Ra 2018/06/0258).</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64255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342265">
    <w:multiLevelType w:val="hybridMultilevel"/>
    <w:lvl w:ilvl="0" w:tplc="12682317">
      <w:start w:val="1"/>
      <w:numFmt w:val="decimal"/>
      <w:lvlText w:val="%1."/>
      <w:lvlJc w:val="left"/>
      <w:pPr>
        <w:ind w:left="720" w:hanging="360"/>
      </w:pPr>
    </w:lvl>
    <w:lvl w:ilvl="1" w:tplc="12682317" w:tentative="1">
      <w:start w:val="1"/>
      <w:numFmt w:val="lowerLetter"/>
      <w:lvlText w:val="%2."/>
      <w:lvlJc w:val="left"/>
      <w:pPr>
        <w:ind w:left="1440" w:hanging="360"/>
      </w:pPr>
    </w:lvl>
    <w:lvl w:ilvl="2" w:tplc="12682317" w:tentative="1">
      <w:start w:val="1"/>
      <w:numFmt w:val="lowerRoman"/>
      <w:lvlText w:val="%3."/>
      <w:lvlJc w:val="right"/>
      <w:pPr>
        <w:ind w:left="2160" w:hanging="180"/>
      </w:pPr>
    </w:lvl>
    <w:lvl w:ilvl="3" w:tplc="12682317" w:tentative="1">
      <w:start w:val="1"/>
      <w:numFmt w:val="decimal"/>
      <w:lvlText w:val="%4."/>
      <w:lvlJc w:val="left"/>
      <w:pPr>
        <w:ind w:left="2880" w:hanging="360"/>
      </w:pPr>
    </w:lvl>
    <w:lvl w:ilvl="4" w:tplc="12682317" w:tentative="1">
      <w:start w:val="1"/>
      <w:numFmt w:val="lowerLetter"/>
      <w:lvlText w:val="%5."/>
      <w:lvlJc w:val="left"/>
      <w:pPr>
        <w:ind w:left="3600" w:hanging="360"/>
      </w:pPr>
    </w:lvl>
    <w:lvl w:ilvl="5" w:tplc="12682317" w:tentative="1">
      <w:start w:val="1"/>
      <w:numFmt w:val="lowerRoman"/>
      <w:lvlText w:val="%6."/>
      <w:lvlJc w:val="right"/>
      <w:pPr>
        <w:ind w:left="4320" w:hanging="180"/>
      </w:pPr>
    </w:lvl>
    <w:lvl w:ilvl="6" w:tplc="12682317" w:tentative="1">
      <w:start w:val="1"/>
      <w:numFmt w:val="decimal"/>
      <w:lvlText w:val="%7."/>
      <w:lvlJc w:val="left"/>
      <w:pPr>
        <w:ind w:left="5040" w:hanging="360"/>
      </w:pPr>
    </w:lvl>
    <w:lvl w:ilvl="7" w:tplc="12682317" w:tentative="1">
      <w:start w:val="1"/>
      <w:numFmt w:val="lowerLetter"/>
      <w:lvlText w:val="%8."/>
      <w:lvlJc w:val="left"/>
      <w:pPr>
        <w:ind w:left="5760" w:hanging="360"/>
      </w:pPr>
    </w:lvl>
    <w:lvl w:ilvl="8" w:tplc="12682317" w:tentative="1">
      <w:start w:val="1"/>
      <w:numFmt w:val="lowerRoman"/>
      <w:lvlText w:val="%9."/>
      <w:lvlJc w:val="right"/>
      <w:pPr>
        <w:ind w:left="6480" w:hanging="180"/>
      </w:pPr>
    </w:lvl>
  </w:abstractNum>
  <w:abstractNum w:abstractNumId="83847985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342264">
    <w:multiLevelType w:val="hybridMultilevel"/>
    <w:lvl w:ilvl="0" w:tplc="76157725">
      <w:start w:val="1"/>
      <w:numFmt w:val="decimal"/>
      <w:lvlText w:val="%1."/>
      <w:lvlJc w:val="left"/>
      <w:pPr>
        <w:ind w:left="720" w:hanging="360"/>
      </w:pPr>
    </w:lvl>
    <w:lvl w:ilvl="1" w:tplc="76157725" w:tentative="1">
      <w:start w:val="1"/>
      <w:numFmt w:val="lowerLetter"/>
      <w:lvlText w:val="%2."/>
      <w:lvlJc w:val="left"/>
      <w:pPr>
        <w:ind w:left="1440" w:hanging="360"/>
      </w:pPr>
    </w:lvl>
    <w:lvl w:ilvl="2" w:tplc="76157725" w:tentative="1">
      <w:start w:val="1"/>
      <w:numFmt w:val="lowerRoman"/>
      <w:lvlText w:val="%3."/>
      <w:lvlJc w:val="right"/>
      <w:pPr>
        <w:ind w:left="2160" w:hanging="180"/>
      </w:pPr>
    </w:lvl>
    <w:lvl w:ilvl="3" w:tplc="76157725" w:tentative="1">
      <w:start w:val="1"/>
      <w:numFmt w:val="decimal"/>
      <w:lvlText w:val="%4."/>
      <w:lvlJc w:val="left"/>
      <w:pPr>
        <w:ind w:left="2880" w:hanging="360"/>
      </w:pPr>
    </w:lvl>
    <w:lvl w:ilvl="4" w:tplc="76157725" w:tentative="1">
      <w:start w:val="1"/>
      <w:numFmt w:val="lowerLetter"/>
      <w:lvlText w:val="%5."/>
      <w:lvlJc w:val="left"/>
      <w:pPr>
        <w:ind w:left="3600" w:hanging="360"/>
      </w:pPr>
    </w:lvl>
    <w:lvl w:ilvl="5" w:tplc="76157725" w:tentative="1">
      <w:start w:val="1"/>
      <w:numFmt w:val="lowerRoman"/>
      <w:lvlText w:val="%6."/>
      <w:lvlJc w:val="right"/>
      <w:pPr>
        <w:ind w:left="4320" w:hanging="180"/>
      </w:pPr>
    </w:lvl>
    <w:lvl w:ilvl="6" w:tplc="76157725" w:tentative="1">
      <w:start w:val="1"/>
      <w:numFmt w:val="decimal"/>
      <w:lvlText w:val="%7."/>
      <w:lvlJc w:val="left"/>
      <w:pPr>
        <w:ind w:left="5040" w:hanging="360"/>
      </w:pPr>
    </w:lvl>
    <w:lvl w:ilvl="7" w:tplc="76157725" w:tentative="1">
      <w:start w:val="1"/>
      <w:numFmt w:val="lowerLetter"/>
      <w:lvlText w:val="%8."/>
      <w:lvlJc w:val="left"/>
      <w:pPr>
        <w:ind w:left="5760" w:hanging="360"/>
      </w:pPr>
    </w:lvl>
    <w:lvl w:ilvl="8" w:tplc="76157725" w:tentative="1">
      <w:start w:val="1"/>
      <w:numFmt w:val="lowerRoman"/>
      <w:lvlText w:val="%9."/>
      <w:lvlJc w:val="right"/>
      <w:pPr>
        <w:ind w:left="6480" w:hanging="180"/>
      </w:pPr>
    </w:lvl>
  </w:abstractNum>
  <w:abstractNum w:abstractNumId="82342263">
    <w:multiLevelType w:val="hybridMultilevel"/>
    <w:lvl w:ilvl="0" w:tplc="56135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42263">
    <w:abstractNumId w:val="82342263"/>
  </w:num>
  <w:num w:numId="82342264">
    <w:abstractNumId w:val="82342264"/>
  </w:num>
  <w:num w:numId="838479852">
    <w:abstractNumId w:val="838479852"/>
  </w:num>
  <w:num w:numId="82342265">
    <w:abstractNumId w:val="82342265"/>
  </w:num>
  <w:num w:numId="276642550">
    <w:abstractNumId w:val="276642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33354814" Type="http://schemas.openxmlformats.org/officeDocument/2006/relationships/numbering" Target="numbering.xml"/><Relationship Id="rId88089449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