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1151713" w:name="document"/>
    <w:bookmarkEnd w:id="91151713"/>
    <w:p/>
    <w:p>
      <w:pPr>
        <w:widowControl w:val="on"/>
        <w:pBdr/>
        <w:spacing w:before="0" w:after="280" w:line="240" w:lineRule="auto"/>
        <w:ind w:left="0" w:right="0"/>
        <w:jc w:val="left"/>
      </w:pPr>
      <w:r>
        <w:rPr>
          <w:rFonts w:ascii="Arial" w:hAnsi="Arial" w:eastAsia="Arial" w:cs="Arial"/>
          <w:color w:val="363A40"/>
          <w:sz w:val="24"/>
          <w:szCs w:val="24"/>
        </w:rPr>
        <w:t xml:space="preserve">Dokument-ID: 342089 | Georg Prchlik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Gesellschaftsvertrag einer KG mit Einbringung eines
Unternehmens als Einlage</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Gesellschaftsvertrag der Firma „Alfred Anis &amp; Co
Restaurant- und Konditoreibetriebs KG“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Inhaltsverzeichnis</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Präambel/Vertragsparteien</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Errichtung der Gesellschaft/Firma</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Sitz der Gesellschaft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Gegenstand des Unternehmens</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Entstehung der Gesellschaft/Haftung für Handlungen vor der
Entstehung</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Dauer der Gesellschaft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Geschäftsjahr</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Einlagen/Kapitalanteile</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Geschäftsführung</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Ausübung der Geschäftsführung</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Entziehung der Geschäftsführungsbefugnis</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Kündigung der Geschäftsführung</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Beschlussfassung der Gesellschafter</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Wettbewerbsverbot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Kontrollrechte der Gesellschafter</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Bestimmung von Gewinn und Verlust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Verteilung von Gewinn und Verlust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Gewinnauszahlung</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Gewinnunabhängiges
Entnahmerecht/Aufwendungsersatz/Herausgabepflicht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Vertretung der Gesellschaft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Entziehung der Vertretungsmacht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Haftung der Gesellschafter für Verbindlichkeiten der
Gesellschaft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Austrittskündigung des Gesellschafters</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Übertragung von Geschäftsanteilen</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Auflösung der Gesellschaft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Auflösung durch ordentliche Kündigung seitens eines
Gesellschafters</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Auflösung durch gerichtliche Entscheidung</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Liquidation der Gesellschaft</w:t>
      </w:r>
    </w:p>
    <w:p>
      <w:pPr>
        <w:numPr>
          <w:ilvl w:val="0"/>
          <w:numId w:val="6271764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Allgemeine Bestimmungen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 Präambel/Vertragsparteien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Herr Alfred Anis Inhaber einer
Gewerbeberechtigung für das reglementierte Gewerbe „Gastgewerbe“
gem § 94 Z 28 der Gewerbeordnung ist und das
Gastronomielokal „Zum goldenen Kochlöffel“, etabliert in
Schmorgasse 1, 1010 Wien, betreibt.</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weiters, dass Herr Sigfried Süßer Inhaber
einer Gewerbeberechtigung für das reglementierte Gewerbe
„Konditoren (Zuckerbäcker) einschließlich der Lebzelter und der
Konditen-, Gefrorenes- und Schokoladenwarenerzeugung (Handwerk)“
gem § 94 Z 40 der Gewerbeordnung ist und die
Konditorei „Zum süßen Sigfried“, etabliert in 1020 Wien,
Zuckerbäckerstraße 2, betreibt.</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schließlich, dass Herr Harald Haube die
Hotelfachschule absolviert hat und seit drei Jahren als
Restaurantmanager tätig ist.</w:t>
      </w:r>
    </w:p>
    <w:p>
      <w:pPr>
        <w:widowControl w:val="on"/>
        <w:pBdr/>
        <w:spacing w:before="140" w:after="240" w:line="288" w:lineRule="auto"/>
        <w:ind w:left="0" w:right="0"/>
        <w:jc w:val="left"/>
      </w:pPr>
      <w:r>
        <w:rPr>
          <w:rFonts w:ascii="Arial" w:hAnsi="Arial" w:eastAsia="Arial" w:cs="Arial"/>
          <w:color w:val="000000"/>
          <w:sz w:val="20"/>
          <w:szCs w:val="20"/>
        </w:rPr>
        <w:t xml:space="preserve">Herr Alfred Anis, Herr Sigfried Süßer und Herr Harald Haube
beabsichtigen, durch den vorliegenden Gesellschaftsvertrag eine
Kommanditgesellschaft zu errichten, die am Standort des bisherigen
Gastronomielokals „Zum goldenen Kochlöffel“ unter der
Etablissementbezeichnung einen Lokalverbund „Der goldene Kochlöffel
– Restaurant und und Konditorei“ betreibt.</w:t>
      </w:r>
    </w:p>
    <w:p>
      <w:pPr>
        <w:widowControl w:val="on"/>
        <w:pBdr/>
        <w:spacing w:before="140" w:after="240" w:line="288" w:lineRule="auto"/>
        <w:ind w:left="0" w:right="0"/>
        <w:jc w:val="left"/>
      </w:pPr>
      <w:r>
        <w:rPr>
          <w:rFonts w:ascii="Arial" w:hAnsi="Arial" w:eastAsia="Arial" w:cs="Arial"/>
          <w:color w:val="000000"/>
          <w:sz w:val="20"/>
          <w:szCs w:val="20"/>
        </w:rPr>
        <w:t xml:space="preserve">Parteien dieses Gesellschaftsvertrages und Gesellschafter der zu
errichtenden Gesellschaft sind</w:t>
      </w:r>
    </w:p>
    <w:p>
      <w:pPr>
        <w:numPr>
          <w:ilvl w:val="0"/>
          <w:numId w:val="9982880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Alfred Anis, geb 01.10.1961, Schmorgasse 1, 1010 Wien</w:t>
      </w:r>
    </w:p>
    <w:p>
      <w:pPr>
        <w:numPr>
          <w:ilvl w:val="0"/>
          <w:numId w:val="9982880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Sigfried Süßer, geb 02.12.1972, Bäckerstraße 2, 1020
Wien</w:t>
      </w:r>
    </w:p>
    <w:p>
      <w:pPr>
        <w:numPr>
          <w:ilvl w:val="0"/>
          <w:numId w:val="9982880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Harald Haube, geb 13.03.1983, Trüffelweg 3, 1030 Wien</w:t>
      </w:r>
    </w:p>
    <w:p>
      <w:pPr>
        <w:widowControl w:val="on"/>
        <w:pBdr/>
        <w:spacing w:before="140" w:after="240" w:line="288" w:lineRule="auto"/>
        <w:ind w:left="0" w:right="0"/>
        <w:jc w:val="left"/>
      </w:pPr>
      <w:r>
        <w:rPr>
          <w:rFonts w:ascii="Arial" w:hAnsi="Arial" w:eastAsia="Arial" w:cs="Arial"/>
          <w:color w:val="000000"/>
          <w:sz w:val="20"/>
          <w:szCs w:val="20"/>
        </w:rPr>
        <w:t xml:space="preserve">Herr Anis ist Komplementär der Gesellschaft, Herr Süßer und Herr
Haube sind Kommanditisten.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 Errichtung der Gesellschaft/Firma</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errichten mit Unterfertigung dieses
Vertrages eine Kommanditgesellschaft; die Gesellschaft hat die
Firma „Anis &amp; Co Restaurant- und Konditoreibetriebs KG“.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III. Sitz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Sitz der Gesellschaft ist Wien.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IV. Gegenstand des Unternehmens</w:t>
      </w:r>
    </w:p>
    <w:p>
      <w:pPr>
        <w:widowControl w:val="on"/>
        <w:pBdr/>
        <w:spacing w:before="140" w:after="240" w:line="288" w:lineRule="auto"/>
        <w:ind w:left="0" w:right="0"/>
        <w:jc w:val="left"/>
      </w:pPr>
      <w:r>
        <w:rPr>
          <w:rFonts w:ascii="Arial" w:hAnsi="Arial" w:eastAsia="Arial" w:cs="Arial"/>
          <w:color w:val="000000"/>
          <w:sz w:val="20"/>
          <w:szCs w:val="20"/>
        </w:rPr>
        <w:t xml:space="preserve">Der Gegenstand des Unternehmens umfasst</w:t>
      </w:r>
    </w:p>
    <w:p>
      <w:pPr>
        <w:numPr>
          <w:ilvl w:val="0"/>
          <w:numId w:val="13418023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Betrieb des Gastgewerbes iSd § 94 Z 26 der
Gewerbeordnung, insbesondere die Verabreichung von Speisen jeder
Art und den Ausschank von Getränken;</w:t>
      </w:r>
    </w:p>
    <w:p>
      <w:pPr>
        <w:numPr>
          <w:ilvl w:val="0"/>
          <w:numId w:val="13418023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Betrieb des Handwerks der Konditoren (Zuckerbäcker)
einschließlich der Lebzelter und der Konditen-, Gefrorenes- und
Schokoladenwarenerzeugung iSd § 94 Z 40 der
Gewerbeordnung, insbesondere auch die Verabreichung kleiner kalter
und warmer Speisen sowie den Ausschank von Getränken in den
Verkaufsräumlichkeiten einer Konditorei;</w:t>
      </w:r>
    </w:p>
    <w:p>
      <w:pPr>
        <w:numPr>
          <w:ilvl w:val="0"/>
          <w:numId w:val="13418023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Beteiligung an Gesellschaften jedweder Art, zu deren
Unternehmensgegenstand eine der genannten Tätigkeiten gehört.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 Entstehung der Gesellschaft/Haftung für Handlungen vor der
Entstehung</w:t>
      </w:r>
    </w:p>
    <w:p>
      <w:pPr>
        <w:widowControl w:val="on"/>
        <w:pBdr/>
        <w:spacing w:before="140" w:after="240" w:line="288" w:lineRule="auto"/>
        <w:ind w:left="0" w:right="0"/>
        <w:jc w:val="left"/>
      </w:pPr>
      <w:r>
        <w:rPr>
          <w:rFonts w:ascii="Arial" w:hAnsi="Arial" w:eastAsia="Arial" w:cs="Arial"/>
          <w:color w:val="000000"/>
          <w:sz w:val="20"/>
          <w:szCs w:val="20"/>
        </w:rPr>
        <w:t xml:space="preserve">Die Gesellschaft entsteht mit der Eintragung derselben in das
Firmenbuch.</w:t>
      </w:r>
    </w:p>
    <w:p>
      <w:pPr>
        <w:widowControl w:val="on"/>
        <w:pBdr/>
        <w:spacing w:before="140" w:after="240" w:line="288" w:lineRule="auto"/>
        <w:ind w:left="0" w:right="0"/>
        <w:jc w:val="left"/>
      </w:pPr>
      <w:r>
        <w:rPr>
          <w:rFonts w:ascii="Arial" w:hAnsi="Arial" w:eastAsia="Arial" w:cs="Arial"/>
          <w:color w:val="000000"/>
          <w:sz w:val="20"/>
          <w:szCs w:val="20"/>
        </w:rPr>
        <w:t xml:space="preserve">Wenn nach der Errichtung (Punkt II.), aber vor der Entstehung
der Gesellschaft</w:t>
      </w:r>
    </w:p>
    <w:p>
      <w:pPr>
        <w:numPr>
          <w:ilvl w:val="0"/>
          <w:numId w:val="2637116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Gesellschafter oder</w:t>
      </w:r>
    </w:p>
    <w:p>
      <w:pPr>
        <w:numPr>
          <w:ilvl w:val="0"/>
          <w:numId w:val="2637116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zur Vertretung der Gesellschaft bestellte Person</w:t>
      </w:r>
    </w:p>
    <w:p>
      <w:pPr>
        <w:widowControl w:val="on"/>
        <w:pBdr/>
        <w:spacing w:before="140" w:after="240" w:line="288" w:lineRule="auto"/>
        <w:ind w:left="0" w:right="0"/>
        <w:jc w:val="left"/>
      </w:pPr>
      <w:r>
        <w:rPr>
          <w:rFonts w:ascii="Arial" w:hAnsi="Arial" w:eastAsia="Arial" w:cs="Arial"/>
          <w:color w:val="000000"/>
          <w:sz w:val="20"/>
          <w:szCs w:val="20"/>
        </w:rPr>
        <w:t xml:space="preserve">im Namen der Gesellschaft handelt, dann werden aus dieser
Handlung alle Gesellschafter berechtigt und verpflichtet, wobei
hinsichtlich des Kommanditisten die in Punkt XXII. behandelte
Haftungsbegrenzung zu berücksichtigen ist. Mit der Entstehung der
Gesellschaft tritt diese in die betreffenden Rechtsverhältnisse
ein, ohne dass es eines weiteren Rechtsaktes bedürfte.</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die Kommanditisten auch vor der
Entstehung der Gesellschaft nicht zur Vertretung derselben befugt
sind.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VI. Dauer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Gesellschaft wird auf unbestimmte Zeit errichtet.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VII. Geschäftsjahr</w:t>
      </w:r>
    </w:p>
    <w:p>
      <w:pPr>
        <w:widowControl w:val="on"/>
        <w:pBdr/>
        <w:spacing w:before="140" w:after="240" w:line="288" w:lineRule="auto"/>
        <w:ind w:left="0" w:right="0"/>
        <w:jc w:val="left"/>
      </w:pPr>
      <w:r>
        <w:rPr>
          <w:rFonts w:ascii="Arial" w:hAnsi="Arial" w:eastAsia="Arial" w:cs="Arial"/>
          <w:color w:val="000000"/>
          <w:sz w:val="20"/>
          <w:szCs w:val="20"/>
        </w:rPr>
        <w:t xml:space="preserve">Das Geschäftsjahr entspricht dem Kalenderjahr und endet somit
jeweils am 31.12.</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VIII. Einlagen/Kapitalanteile</w:t>
      </w:r>
    </w:p>
    <w:p>
      <w:pPr>
        <w:widowControl w:val="on"/>
        <w:pBdr/>
        <w:spacing w:before="140" w:after="240" w:line="288" w:lineRule="auto"/>
        <w:ind w:left="0" w:right="0"/>
        <w:jc w:val="left"/>
      </w:pPr>
      <w:r>
        <w:rPr>
          <w:rFonts w:ascii="Arial" w:hAnsi="Arial" w:eastAsia="Arial" w:cs="Arial"/>
          <w:color w:val="000000"/>
          <w:sz w:val="20"/>
          <w:szCs w:val="20"/>
        </w:rPr>
        <w:t xml:space="preserve">Es wird die Leistung von Einlagen der Gesellschafter
entsprechend den nachstehenden Regelungen vereinbart:</w:t>
      </w:r>
    </w:p>
    <w:p>
      <w:pPr>
        <w:numPr>
          <w:ilvl w:val="0"/>
          <w:numId w:val="976237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Alfred Anis bringt sein bisher als nicht
protokolliertes Einzelunternehmen geführtes gastgewerbliches
Unternehmen (Standort: Schmorgasse 1, 1010 Wien,
Etablissementbezeichnung „Zum goldenen Kochlöffel“) in die
Gesellschaft ein; der Betrieb geht in das Eigentum der Gesellschaft
über; es wird vereinbart, dass die zum Zeitpunkt des
Unternehmensübergangs bestehenden unternehmensbezogenen, nicht
höchstpersönlichen Rechtsverhältnisse des Einbringenden mit den bis
dahin entstandenen Rechten und Verbindlichkeiten nicht von der
Gesellschaft übernommen werden; die Haftung der Gesellschaft für
mit unternehmensbezogenen Rechtsverhältnissen des Einbringenden
verbundene Verbindlichkeiten wird ausgeschlossen, wobei dieser
Haftungsausschluss beim Unternehmensübergang in das Firmenbuch
einzutragen ist (Hinweis auf § 38 Absatz 4
Unternehmensgesetzbuch). Einvernehmlich wird festgestellt, dass der
Wert des als Einlage dienenden Unternehmens EUR 100.000,–
(einhunderttausend Euro) beträgt.</w:t>
      </w:r>
    </w:p>
    <w:p>
      <w:pPr>
        <w:numPr>
          <w:ilvl w:val="0"/>
          <w:numId w:val="976237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Sigfried Süßer bringt Teile der Ausstattung
eines Konditoreibetriebes entsprechend dem einen integrierten
Bestandteil dieses Vertrages bildenden Anhang ./A als Einlage ein,
wobei die Einlage einvernehmlich mit EUR 15.000,–
(fünfzehntausend Euro) bewertet wird; weiters bringt er seine
Arbeitsleistung in die Gesellschaft ein; dafür wird ihm eine
Beteiligung an der Gesellschaft gewährt; der Wert dieser Einlage
wird einvernehmlich mit EUR 15.000,– (fünfzehntausend Euro)
festgestellt. Zusätzlich leistet Herr Sigfried Süßer eine
Bareinlage von EUR 20.000,– (zwanzigtausend Euro).</w:t>
      </w:r>
    </w:p>
    <w:p>
      <w:pPr>
        <w:numPr>
          <w:ilvl w:val="0"/>
          <w:numId w:val="976237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Harald Haube bringt seine Arbeitsleistung
als Restaurantmanager in die Gesellschaft ein; dafür wird ihm eine
Beteiligung an der Gesellschaft gewährt; der Wert dieser Einlage
wird einvernehmlich mit EUR 30.000,– (dreißigtausend Euro)
festgestellt; zusätzlich leistet Herr Harald Haube eine Bareinlage
in Höhe von EUR 20.000,– (zwanzigtausend Euro).</w:t>
      </w:r>
    </w:p>
    <w:p>
      <w:pPr>
        <w:widowControl w:val="on"/>
        <w:pBdr/>
        <w:spacing w:before="140" w:after="240" w:line="288" w:lineRule="auto"/>
        <w:ind w:left="0" w:right="0"/>
        <w:jc w:val="left"/>
      </w:pPr>
      <w:r>
        <w:rPr>
          <w:rFonts w:ascii="Arial" w:hAnsi="Arial" w:eastAsia="Arial" w:cs="Arial"/>
          <w:color w:val="000000"/>
          <w:sz w:val="20"/>
          <w:szCs w:val="20"/>
        </w:rPr>
        <w:t xml:space="preserve">Die bar zu leistenden Einlagen sind durch Überweisung auf das
Konto bei der Schaum Bank AG, Kto-Nr: 7654321, BLZ 123000, zu
leisten, wobei der Eingang auf dem Konto spätestens am 01.02.2012
zu erfolgen hat.</w:t>
      </w:r>
    </w:p>
    <w:p>
      <w:pPr>
        <w:widowControl w:val="on"/>
        <w:pBdr/>
        <w:spacing w:before="140" w:after="240" w:line="288" w:lineRule="auto"/>
        <w:ind w:left="0" w:right="0"/>
        <w:jc w:val="left"/>
      </w:pPr>
      <w:r>
        <w:rPr>
          <w:rFonts w:ascii="Arial" w:hAnsi="Arial" w:eastAsia="Arial" w:cs="Arial"/>
          <w:color w:val="000000"/>
          <w:sz w:val="20"/>
          <w:szCs w:val="20"/>
        </w:rPr>
        <w:t xml:space="preserve">Zahlt ein Gesellschafter die Einlage nicht fristgerecht ein,
dann ist er verpflichtet, vom 01.02.2012 an angemessene Zinsen an
die Gesellschaft zu bezahlen.</w:t>
      </w:r>
    </w:p>
    <w:p>
      <w:pPr>
        <w:widowControl w:val="on"/>
        <w:pBdr/>
        <w:spacing w:before="140" w:after="240" w:line="288" w:lineRule="auto"/>
        <w:ind w:left="0" w:right="0"/>
        <w:jc w:val="left"/>
      </w:pPr>
      <w:r>
        <w:rPr>
          <w:rFonts w:ascii="Arial" w:hAnsi="Arial" w:eastAsia="Arial" w:cs="Arial"/>
          <w:color w:val="000000"/>
          <w:sz w:val="20"/>
          <w:szCs w:val="20"/>
        </w:rPr>
        <w:t xml:space="preserve">Stichtag für die Übertragung des Unternehmens des Herrn Alfred
Anis bzw für die Übergabe der Ausstattungsgegenstände des Herrn
Sigfried Süßer ist der … [Datum].</w:t>
      </w:r>
    </w:p>
    <w:p>
      <w:pPr>
        <w:widowControl w:val="on"/>
        <w:pBdr/>
        <w:spacing w:before="140" w:after="240" w:line="288" w:lineRule="auto"/>
        <w:ind w:left="0" w:right="0"/>
        <w:jc w:val="left"/>
      </w:pPr>
      <w:r>
        <w:rPr>
          <w:rFonts w:ascii="Arial" w:hAnsi="Arial" w:eastAsia="Arial" w:cs="Arial"/>
          <w:color w:val="000000"/>
          <w:sz w:val="20"/>
          <w:szCs w:val="20"/>
        </w:rPr>
        <w:t xml:space="preserve">Das Verhältnis der Höhe der vereinbarten Einlagen bestimmt die
Beteiligung der Gesellschafter an der Gesellschaft (Kapitalanteil);
die Gesellschafter sind somit im Verhältnis 2:1:1 an der
Gesellschaft beteiligt.</w:t>
      </w:r>
    </w:p>
    <w:p>
      <w:pPr>
        <w:widowControl w:val="on"/>
        <w:pBdr/>
        <w:spacing w:before="140" w:after="240" w:line="288" w:lineRule="auto"/>
        <w:ind w:left="0" w:right="0"/>
        <w:jc w:val="left"/>
      </w:pPr>
      <w:r>
        <w:rPr>
          <w:rFonts w:ascii="Arial" w:hAnsi="Arial" w:eastAsia="Arial" w:cs="Arial"/>
          <w:color w:val="000000"/>
          <w:sz w:val="20"/>
          <w:szCs w:val="20"/>
        </w:rPr>
        <w:t xml:space="preserve">Die bezeichneten Einlagen der Kommanditisten von jeweils
EUR 50.000,– sind die bedungenen Einlagen iSd § 168
Abs 1 UGB.</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die ins Firmenbuch einzutragende
Haftsumme des Kommanditisten iSd 171 Absatz 1
Unternehmensgesetzbuch</w:t>
      </w:r>
    </w:p>
    <w:p>
      <w:pPr>
        <w:numPr>
          <w:ilvl w:val="0"/>
          <w:numId w:val="6506962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bezüglich des Gesellschafters Sigfried Süßer EUR 20.000,–
(zwanzigtausend Euro) und</w:t>
      </w:r>
    </w:p>
    <w:p>
      <w:pPr>
        <w:numPr>
          <w:ilvl w:val="0"/>
          <w:numId w:val="65069622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bezüglich des Gesellschafters Harald Haube gleichfalls
EUR 20.000,– (zwanzigtausend Euro)</w:t>
      </w:r>
    </w:p>
    <w:p>
      <w:pPr>
        <w:widowControl w:val="on"/>
        <w:pBdr/>
        <w:spacing w:before="140" w:after="240" w:line="288" w:lineRule="auto"/>
        <w:ind w:left="0" w:right="0"/>
        <w:jc w:val="left"/>
      </w:pPr>
      <w:r>
        <w:rPr>
          <w:rFonts w:ascii="Arial" w:hAnsi="Arial" w:eastAsia="Arial" w:cs="Arial"/>
          <w:color w:val="000000"/>
          <w:sz w:val="20"/>
          <w:szCs w:val="20"/>
        </w:rPr>
        <w:t xml:space="preserve">beträgt.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IX.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Die Geschäftsführung umfasst alle Handlungen – gleich ob
rechtlicher oder tatsächlicher Natur –, die der Verwirklichung des
Gesellschaftszwecks dienen, insbesondere</w:t>
      </w:r>
    </w:p>
    <w:p>
      <w:pPr>
        <w:numPr>
          <w:ilvl w:val="0"/>
          <w:numId w:val="123465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Planung,</w:t>
      </w:r>
    </w:p>
    <w:p>
      <w:pPr>
        <w:numPr>
          <w:ilvl w:val="0"/>
          <w:numId w:val="123465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Durchführung und</w:t>
      </w:r>
    </w:p>
    <w:p>
      <w:pPr>
        <w:numPr>
          <w:ilvl w:val="0"/>
          <w:numId w:val="123465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Kontrolle</w:t>
      </w:r>
    </w:p>
    <w:p>
      <w:pPr>
        <w:widowControl w:val="on"/>
        <w:pBdr/>
        <w:spacing w:before="140" w:after="240" w:line="288" w:lineRule="auto"/>
        <w:ind w:left="0" w:right="0"/>
        <w:jc w:val="left"/>
      </w:pPr>
      <w:r>
        <w:rPr>
          <w:rFonts w:ascii="Arial" w:hAnsi="Arial" w:eastAsia="Arial" w:cs="Arial"/>
          <w:color w:val="000000"/>
          <w:sz w:val="20"/>
          <w:szCs w:val="20"/>
        </w:rPr>
        <w:t xml:space="preserve">der zum Unternehmensgegenstand gehörenden Tätigkeiten (Punkt
IV.).</w:t>
      </w:r>
    </w:p>
    <w:p>
      <w:pPr>
        <w:widowControl w:val="on"/>
        <w:pBdr/>
        <w:spacing w:before="140" w:after="240" w:line="288" w:lineRule="auto"/>
        <w:ind w:left="0" w:right="0"/>
        <w:jc w:val="left"/>
      </w:pPr>
      <w:r>
        <w:rPr>
          <w:rFonts w:ascii="Arial" w:hAnsi="Arial" w:eastAsia="Arial" w:cs="Arial"/>
          <w:color w:val="000000"/>
          <w:sz w:val="20"/>
          <w:szCs w:val="20"/>
        </w:rPr>
        <w:t xml:space="preserve">Nicht zur Geschäftsführung zählen Handlungen, welche</w:t>
      </w:r>
    </w:p>
    <w:p>
      <w:pPr>
        <w:numPr>
          <w:ilvl w:val="0"/>
          <w:numId w:val="8663877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Grundlagen der Gesellschaft betreffen oder</w:t>
      </w:r>
    </w:p>
    <w:p>
      <w:pPr>
        <w:numPr>
          <w:ilvl w:val="0"/>
          <w:numId w:val="8663877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Beziehungen der Gesellschafter zueinander regeln,</w:t>
      </w:r>
    </w:p>
    <w:p>
      <w:pPr>
        <w:widowControl w:val="on"/>
        <w:pBdr/>
        <w:spacing w:before="140" w:after="240" w:line="288" w:lineRule="auto"/>
        <w:ind w:left="0" w:right="0"/>
        <w:jc w:val="left"/>
      </w:pPr>
      <w:r>
        <w:rPr>
          <w:rFonts w:ascii="Arial" w:hAnsi="Arial" w:eastAsia="Arial" w:cs="Arial"/>
          <w:color w:val="000000"/>
          <w:sz w:val="20"/>
          <w:szCs w:val="20"/>
        </w:rPr>
        <w:t xml:space="preserve">wie insbesondere Änderungen des Gesellschaftsvertrages.</w:t>
      </w:r>
    </w:p>
    <w:p>
      <w:pPr>
        <w:widowControl w:val="on"/>
        <w:pBdr/>
        <w:spacing w:before="140" w:after="240" w:line="288" w:lineRule="auto"/>
        <w:ind w:left="0" w:right="0"/>
        <w:jc w:val="left"/>
      </w:pPr>
      <w:r>
        <w:rPr>
          <w:rFonts w:ascii="Arial" w:hAnsi="Arial" w:eastAsia="Arial" w:cs="Arial"/>
          <w:color w:val="000000"/>
          <w:sz w:val="20"/>
          <w:szCs w:val="20"/>
        </w:rPr>
        <w:t xml:space="preserve">Im Rahmen der Geschäftsführung ist zu unterscheiden zwischen</w:t>
      </w:r>
    </w:p>
    <w:p>
      <w:pPr>
        <w:numPr>
          <w:ilvl w:val="0"/>
          <w:numId w:val="929719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Handlungen, die der gewöhnliche Betrieb des Unternehmens der
Gesellschaft mit sich bringt (Geschäftsführung in gewöhnlichen
Angelegenheiten) und</w:t>
      </w:r>
    </w:p>
    <w:p>
      <w:pPr>
        <w:numPr>
          <w:ilvl w:val="0"/>
          <w:numId w:val="929719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Handlungen, die über den bezeichneten Bereich hinausgehen, etwa
weil sie
</w:t>
      </w:r>
    </w:p>
    <w:p>
      <w:pPr>
        <w:numPr>
          <w:ilvl w:val="1"/>
          <w:numId w:val="929719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im Zeitpunkt der Setzung der Handlung gewöhnlichen Rahmen
des Geschäftsbetriebs übersteigen oder</w:t>
      </w:r>
    </w:p>
    <w:p>
      <w:pPr>
        <w:numPr>
          <w:ilvl w:val="1"/>
          <w:numId w:val="929719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besonderes Risiko in sich bergen</w:t>
      </w:r>
      <w:r>
        <w:rPr>
          <w:rFonts w:ascii="Arial" w:hAnsi="Arial" w:eastAsia="Arial" w:cs="Arial"/>
          <w:color w:val="000000"/>
          <w:sz w:val="20"/>
          <w:szCs w:val="20"/>
        </w:rPr>
        <w:br/>
        <w:t xml:space="preserve">(Geschäftsführung in außergewöhnlichen Angelegenheiten).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 Ausübung der Geschäftsführung</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Komplementär Alfred Anis ist zur Geschäftsführung berechtigt
und verpflichtet („geschäftsführender Gesellschafter“), sofern
nicht</w:t>
      </w:r>
    </w:p>
    <w:p>
      <w:pPr>
        <w:numPr>
          <w:ilvl w:val="0"/>
          <w:numId w:val="263348049"/>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seine Geschäftsführungsbefugnis durch gerichtliche Entscheidung
entzogen (Punkt XI.) oder</w:t>
      </w:r>
    </w:p>
    <w:p>
      <w:pPr>
        <w:numPr>
          <w:ilvl w:val="0"/>
          <w:numId w:val="263348049"/>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 von ihm gekündigt (Punkt XII.)</w:t>
      </w:r>
    </w:p>
    <w:p>
      <w:pPr>
        <w:widowControl w:val="on"/>
        <w:pBdr/>
        <w:spacing w:before="140" w:after="240" w:line="288" w:lineRule="auto"/>
        <w:ind w:left="0" w:right="0"/>
        <w:jc w:val="left"/>
      </w:pPr>
      <w:r>
        <w:rPr>
          <w:rFonts w:ascii="Arial" w:hAnsi="Arial" w:eastAsia="Arial" w:cs="Arial"/>
          <w:color w:val="277DB9"/>
          <w:sz w:val="20"/>
          <w:szCs w:val="20"/>
        </w:rPr>
        <w:t xml:space="preserve">worden ist.</w:t>
      </w:r>
    </w:p>
    <w:p>
      <w:pPr>
        <w:widowControl w:val="on"/>
        <w:pBdr/>
        <w:spacing w:before="140" w:after="240" w:line="288" w:lineRule="auto"/>
        <w:ind w:left="0" w:right="0"/>
        <w:jc w:val="left"/>
      </w:pPr>
      <w:r>
        <w:rPr>
          <w:rFonts w:ascii="Arial" w:hAnsi="Arial" w:eastAsia="Arial" w:cs="Arial"/>
          <w:color w:val="277DB9"/>
          <w:sz w:val="20"/>
          <w:szCs w:val="20"/>
        </w:rPr>
        <w:t xml:space="preserve">In gewöhnlichen Angelegenheiten ist der Komplementär Alfred Anis
jeweils allein zu handeln berechtigt
(Einzelgeschäftsführungsbefugnis).</w:t>
      </w:r>
    </w:p>
    <w:p>
      <w:pPr>
        <w:widowControl w:val="on"/>
        <w:pBdr/>
        <w:spacing w:before="140" w:after="240" w:line="288" w:lineRule="auto"/>
        <w:ind w:left="0" w:right="0"/>
        <w:jc w:val="left"/>
      </w:pPr>
      <w:r>
        <w:rPr>
          <w:rFonts w:ascii="Arial" w:hAnsi="Arial" w:eastAsia="Arial" w:cs="Arial"/>
          <w:color w:val="277DB9"/>
          <w:sz w:val="20"/>
          <w:szCs w:val="20"/>
        </w:rPr>
        <w:t xml:space="preserve">Die Kommanditisten sind auch von der Geschäftsführung in
gewöhnlichen Angelegenheiten ausgeschlossen und können insbesondere
gegen Handlungen des geschäftsführenden Gesellschafters in
derartigen Angelegenheiten keinen Widerspruch erheben.</w:t>
      </w:r>
    </w:p>
    <w:p>
      <w:pPr>
        <w:widowControl w:val="on"/>
        <w:pBdr/>
        <w:spacing w:before="140" w:after="240" w:line="288" w:lineRule="auto"/>
        <w:ind w:left="0" w:right="0"/>
        <w:jc w:val="left"/>
      </w:pPr>
      <w:r>
        <w:rPr>
          <w:rFonts w:ascii="Arial" w:hAnsi="Arial" w:eastAsia="Arial" w:cs="Arial"/>
          <w:color w:val="277DB9"/>
          <w:sz w:val="20"/>
          <w:szCs w:val="20"/>
        </w:rPr>
        <w:t xml:space="preserve">In außergewöhnlichen Angelegenheiten ist zur Vornahme einer
Handlung ein Beschluss sämtlicher Gesellschafter (auch der nicht
geschäftsführenden einschließlich der Kommanditisten)
erforderlich.</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Der Komplementär Alfred Anis und der Kommanditist Sigfried Süßer
sind zur Geschäftsführung berechtigt und verpflichtet
(„geschäftsführender Gesellschafter“), sofern nicht bezüglich des
Betreffenden</w:t>
      </w:r>
    </w:p>
    <w:p>
      <w:pPr>
        <w:numPr>
          <w:ilvl w:val="0"/>
          <w:numId w:val="399170668"/>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seine Geschäftsführungsbefugnis durch gerichtliche Entscheidung
entzogen (Punkt XI.) oder</w:t>
      </w:r>
    </w:p>
    <w:p>
      <w:pPr>
        <w:numPr>
          <w:ilvl w:val="0"/>
          <w:numId w:val="399170668"/>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 von ihm gekündigt (Punkt XII.)</w:t>
      </w:r>
    </w:p>
    <w:p>
      <w:pPr>
        <w:widowControl w:val="on"/>
        <w:pBdr/>
        <w:spacing w:before="140" w:after="240" w:line="288" w:lineRule="auto"/>
        <w:ind w:left="0" w:right="0"/>
        <w:jc w:val="left"/>
      </w:pPr>
      <w:r>
        <w:rPr>
          <w:rFonts w:ascii="Arial" w:hAnsi="Arial" w:eastAsia="Arial" w:cs="Arial"/>
          <w:color w:val="277DB9"/>
          <w:sz w:val="20"/>
          <w:szCs w:val="20"/>
        </w:rPr>
        <w:t xml:space="preserve">worden ist.</w:t>
      </w:r>
    </w:p>
    <w:p>
      <w:pPr>
        <w:widowControl w:val="on"/>
        <w:pBdr/>
        <w:spacing w:before="140" w:after="240" w:line="288" w:lineRule="auto"/>
        <w:ind w:left="0" w:right="0"/>
        <w:jc w:val="left"/>
      </w:pPr>
      <w:r>
        <w:rPr>
          <w:rFonts w:ascii="Arial" w:hAnsi="Arial" w:eastAsia="Arial" w:cs="Arial"/>
          <w:color w:val="277DB9"/>
          <w:sz w:val="20"/>
          <w:szCs w:val="20"/>
        </w:rPr>
        <w:t xml:space="preserve">In gewöhnlichen Angelegenheiten sind die geschäftsführenden
Gesellschafter jeweils allein zu handeln berechtigt
(Einzelgeschäftsführungsbefugnis).</w:t>
      </w:r>
    </w:p>
    <w:p>
      <w:pPr>
        <w:widowControl w:val="on"/>
        <w:pBdr/>
        <w:spacing w:before="140" w:after="240" w:line="288" w:lineRule="auto"/>
        <w:ind w:left="0" w:right="0"/>
        <w:jc w:val="left"/>
      </w:pPr>
      <w:r>
        <w:rPr>
          <w:rFonts w:ascii="Arial" w:hAnsi="Arial" w:eastAsia="Arial" w:cs="Arial"/>
          <w:color w:val="277DB9"/>
          <w:sz w:val="20"/>
          <w:szCs w:val="20"/>
        </w:rPr>
        <w:t xml:space="preserve">Der Kommanditist Harald Haube ist auch von der Geschäftsführung
in gewöhnlichen Angelegenheiten ausgeschlossen und kann
insbesondere gegen Handlungen des geschäftsführenden
Gesellschafters in derartigen Angelegenheiten keinen Widerspruch
erheben.</w:t>
      </w:r>
    </w:p>
    <w:p>
      <w:pPr>
        <w:widowControl w:val="on"/>
        <w:pBdr/>
        <w:spacing w:before="140" w:after="240" w:line="288" w:lineRule="auto"/>
        <w:ind w:left="0" w:right="0"/>
        <w:jc w:val="left"/>
      </w:pPr>
      <w:r>
        <w:rPr>
          <w:rFonts w:ascii="Arial" w:hAnsi="Arial" w:eastAsia="Arial" w:cs="Arial"/>
          <w:color w:val="277DB9"/>
          <w:sz w:val="20"/>
          <w:szCs w:val="20"/>
        </w:rPr>
        <w:t xml:space="preserve">In außergewöhnlichen Angelegenheiten ist zur Vornahme einer
Handlung ein Beschluss sämtlicher Gesellschafter (auch der nicht
geschäftsführenden einschließlich des Kommanditisten Harald Haube)
erforderlich.</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3:</w:t>
      </w:r>
    </w:p>
    <w:p>
      <w:pPr>
        <w:widowControl w:val="on"/>
        <w:pBdr/>
        <w:spacing w:before="140" w:after="240" w:line="288" w:lineRule="auto"/>
        <w:ind w:left="0" w:right="0"/>
        <w:jc w:val="left"/>
      </w:pPr>
      <w:r>
        <w:rPr>
          <w:rFonts w:ascii="Arial" w:hAnsi="Arial" w:eastAsia="Arial" w:cs="Arial"/>
          <w:color w:val="277DB9"/>
          <w:sz w:val="20"/>
          <w:szCs w:val="20"/>
        </w:rPr>
        <w:t xml:space="preserve">Alle Gesellschafter sind zur Geschäftsführung berechtigt und
verpflichtet („geschäftsführende Gesellschafter“), sofern nicht</w:t>
      </w:r>
    </w:p>
    <w:p>
      <w:pPr>
        <w:numPr>
          <w:ilvl w:val="0"/>
          <w:numId w:val="43438807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Geschäftsführungsbefugnis des betreffenden Gesellschafters
durch gerichtliche Entscheidung entzogen (Punkt XI.) oder</w:t>
      </w:r>
    </w:p>
    <w:p>
      <w:pPr>
        <w:numPr>
          <w:ilvl w:val="0"/>
          <w:numId w:val="43438807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 vom betreffenden Gesellschafter gekündigt
(Punkt XII.)</w:t>
      </w:r>
    </w:p>
    <w:p>
      <w:pPr>
        <w:widowControl w:val="on"/>
        <w:pBdr/>
        <w:spacing w:before="140" w:after="240" w:line="288" w:lineRule="auto"/>
        <w:ind w:left="0" w:right="0"/>
        <w:jc w:val="left"/>
      </w:pPr>
      <w:r>
        <w:rPr>
          <w:rFonts w:ascii="Arial" w:hAnsi="Arial" w:eastAsia="Arial" w:cs="Arial"/>
          <w:color w:val="277DB9"/>
          <w:sz w:val="20"/>
          <w:szCs w:val="20"/>
        </w:rPr>
        <w:t xml:space="preserve">worden ist.</w:t>
      </w:r>
    </w:p>
    <w:p>
      <w:pPr>
        <w:widowControl w:val="on"/>
        <w:pBdr/>
        <w:spacing w:before="140" w:after="240" w:line="288" w:lineRule="auto"/>
        <w:ind w:left="0" w:right="0"/>
        <w:jc w:val="left"/>
      </w:pPr>
      <w:r>
        <w:rPr>
          <w:rFonts w:ascii="Arial" w:hAnsi="Arial" w:eastAsia="Arial" w:cs="Arial"/>
          <w:color w:val="277DB9"/>
          <w:sz w:val="20"/>
          <w:szCs w:val="20"/>
        </w:rPr>
        <w:t xml:space="preserve">In gewöhnlichen Angelegenheiten sind die geschäftsführenden
Gesellschafter allein zu handeln berechtigt
(Einzelgeschäftsführungsbefugnis); widerspricht jedoch ein anderer
geschäftsführender Gesellschafter der Vornahme einer
Geschäftsführungshandlung, so hat diese zu unterbleiben.</w:t>
      </w:r>
    </w:p>
    <w:p>
      <w:pPr>
        <w:widowControl w:val="on"/>
        <w:pBdr/>
        <w:spacing w:before="140" w:after="240" w:line="288" w:lineRule="auto"/>
        <w:ind w:left="0" w:right="0"/>
        <w:jc w:val="left"/>
      </w:pPr>
      <w:r>
        <w:rPr>
          <w:rFonts w:ascii="Arial" w:hAnsi="Arial" w:eastAsia="Arial" w:cs="Arial"/>
          <w:color w:val="277DB9"/>
          <w:sz w:val="20"/>
          <w:szCs w:val="20"/>
        </w:rPr>
        <w:t xml:space="preserve">In außergewöhnlichen Angelegenheiten ist zur Vornahme einer
Handlung ein Beschluss sämtlicher Gesellschafter erforderlich,
wobei auf die Beschlussfassungserfordernisse nach Punkt XIII.
hingewiesen wird.</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4:</w:t>
      </w:r>
    </w:p>
    <w:p>
      <w:pPr>
        <w:widowControl w:val="on"/>
        <w:pBdr/>
        <w:spacing w:before="140" w:after="240" w:line="288" w:lineRule="auto"/>
        <w:ind w:left="0" w:right="0"/>
        <w:jc w:val="left"/>
      </w:pPr>
      <w:r>
        <w:rPr>
          <w:rFonts w:ascii="Arial" w:hAnsi="Arial" w:eastAsia="Arial" w:cs="Arial"/>
          <w:color w:val="277DB9"/>
          <w:sz w:val="20"/>
          <w:szCs w:val="20"/>
        </w:rPr>
        <w:t xml:space="preserve">Alle Gesellschafter sind zur Geschäftsführung berechtigt und
verpflichtet („geschäftsführende Gesellschafter“), sofern nicht</w:t>
      </w:r>
    </w:p>
    <w:p>
      <w:pPr>
        <w:numPr>
          <w:ilvl w:val="0"/>
          <w:numId w:val="889166"/>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Geschäftsführungsbefugnis des betreffenden Gesellschafters
durch gerichtliche Entscheidung entzogen (Punkt XI.) oder</w:t>
      </w:r>
    </w:p>
    <w:p>
      <w:pPr>
        <w:numPr>
          <w:ilvl w:val="0"/>
          <w:numId w:val="889166"/>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 vom betreffenden Gesellschafter gekündigt
(Punkt XII.)</w:t>
      </w:r>
    </w:p>
    <w:p>
      <w:pPr>
        <w:widowControl w:val="on"/>
        <w:pBdr/>
        <w:spacing w:before="140" w:after="240" w:line="288" w:lineRule="auto"/>
        <w:ind w:left="0" w:right="0"/>
        <w:jc w:val="left"/>
      </w:pPr>
      <w:r>
        <w:rPr>
          <w:rFonts w:ascii="Arial" w:hAnsi="Arial" w:eastAsia="Arial" w:cs="Arial"/>
          <w:color w:val="277DB9"/>
          <w:sz w:val="20"/>
          <w:szCs w:val="20"/>
        </w:rPr>
        <w:t xml:space="preserve">worden ist.</w:t>
      </w:r>
    </w:p>
    <w:p>
      <w:pPr>
        <w:widowControl w:val="on"/>
        <w:pBdr/>
        <w:spacing w:before="140" w:after="240" w:line="288" w:lineRule="auto"/>
        <w:ind w:left="0" w:right="0"/>
        <w:jc w:val="left"/>
      </w:pPr>
      <w:r>
        <w:rPr>
          <w:rFonts w:ascii="Arial" w:hAnsi="Arial" w:eastAsia="Arial" w:cs="Arial"/>
          <w:color w:val="277DB9"/>
          <w:sz w:val="20"/>
          <w:szCs w:val="20"/>
        </w:rPr>
        <w:t xml:space="preserve">Für die Vornahme einer Geschäftsführungshandlung in gewöhnlichen
Angelegenheiten ist ein gemeinsames Handeln von wenigstens zwei
Gesellschaftern erforderlich; der Gesellschafter Sigfried Süßer
kann jeder Geschäftsführungsmaßnahme wirksam widersprechen.</w:t>
      </w:r>
    </w:p>
    <w:p>
      <w:pPr>
        <w:widowControl w:val="on"/>
        <w:pBdr/>
        <w:spacing w:before="140" w:after="240" w:line="288" w:lineRule="auto"/>
        <w:ind w:left="0" w:right="0"/>
        <w:jc w:val="left"/>
      </w:pPr>
      <w:r>
        <w:rPr>
          <w:rFonts w:ascii="Arial" w:hAnsi="Arial" w:eastAsia="Arial" w:cs="Arial"/>
          <w:color w:val="277DB9"/>
          <w:sz w:val="20"/>
          <w:szCs w:val="20"/>
        </w:rPr>
        <w:t xml:space="preserve">In außergewöhnlichen Angelegenheiten ist zur Vornahme einer
Handlung ein Beschluss sämtlicher Gesellschafter erforderlich,
wobei auf die Beschlussfassungserfordernisse nach Punkt XIII.
hingewiesen wird.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XI. Entziehung der Geschäftsführungsbefugnis</w:t>
      </w:r>
    </w:p>
    <w:p>
      <w:pPr>
        <w:widowControl w:val="on"/>
        <w:pBdr/>
        <w:spacing w:before="140" w:after="240" w:line="288" w:lineRule="auto"/>
        <w:ind w:left="0" w:right="0"/>
        <w:jc w:val="left"/>
      </w:pPr>
      <w:r>
        <w:rPr>
          <w:rFonts w:ascii="Arial" w:hAnsi="Arial" w:eastAsia="Arial" w:cs="Arial"/>
          <w:color w:val="000000"/>
          <w:sz w:val="20"/>
          <w:szCs w:val="20"/>
        </w:rPr>
        <w:t xml:space="preserve">Einem geschäftsführenden Gesellschafter kann die
Geschäftsführungsbefugnis auf Antrag der übrigen Gesellschafter
durch gerichtliche Entscheidung entzogen werden, wenn ein wichtiger
Grund, etwa</w:t>
      </w:r>
    </w:p>
    <w:p>
      <w:pPr>
        <w:numPr>
          <w:ilvl w:val="0"/>
          <w:numId w:val="4764727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grobe Pflichtverletzung durch den Gesellschafter oder</w:t>
      </w:r>
    </w:p>
    <w:p>
      <w:pPr>
        <w:numPr>
          <w:ilvl w:val="0"/>
          <w:numId w:val="4764727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Unfähigkeit des Gesellschafters zur ordnungsgemäßen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vorliegt.</w:t>
      </w:r>
    </w:p>
    <w:p>
      <w:pPr>
        <w:widowControl w:val="on"/>
        <w:pBdr/>
        <w:spacing w:before="140" w:after="240" w:line="288" w:lineRule="auto"/>
        <w:ind w:left="0" w:right="0"/>
        <w:jc w:val="left"/>
      </w:pPr>
      <w:r>
        <w:rPr>
          <w:rFonts w:ascii="Arial" w:hAnsi="Arial" w:eastAsia="Arial" w:cs="Arial"/>
          <w:color w:val="000000"/>
          <w:sz w:val="20"/>
          <w:szCs w:val="20"/>
        </w:rPr>
        <w:t xml:space="preserve">Jeder andere Gesellschafter ist verpflichtet, im Fall des
Vorliegens eines wichtigen Grundes am Verfahren zum Entzug der
Geschäftsführungsbefugnis des betreffenden Gesellschafters
mitzuwirken.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XII. Kündigung der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Ein geschäftsführender Gesellschafter kann die Geschäftsführung
kündigen, wenn ein wichtiger Grund vorliegt; auf dieses Recht kann
nicht verzichtet werden.</w:t>
      </w:r>
    </w:p>
    <w:p>
      <w:pPr>
        <w:widowControl w:val="on"/>
        <w:pBdr/>
        <w:spacing w:before="140" w:after="240" w:line="288" w:lineRule="auto"/>
        <w:ind w:left="0" w:right="0"/>
        <w:jc w:val="left"/>
      </w:pPr>
      <w:r>
        <w:rPr>
          <w:rFonts w:ascii="Arial" w:hAnsi="Arial" w:eastAsia="Arial" w:cs="Arial"/>
          <w:color w:val="000000"/>
          <w:sz w:val="20"/>
          <w:szCs w:val="20"/>
        </w:rPr>
        <w:t xml:space="preserve">Ein geschäftsführender Gesellschafter darf die Geschäftsführung
nur in einer solchen Weise kündigen, dass die Gesellschafter für
die Führung der Geschäfte anderweitig Vorsorge treffen können.</w:t>
      </w:r>
    </w:p>
    <w:p>
      <w:pPr>
        <w:widowControl w:val="on"/>
        <w:pBdr/>
        <w:spacing w:before="140" w:after="240" w:line="288" w:lineRule="auto"/>
        <w:ind w:left="0" w:right="0"/>
        <w:jc w:val="left"/>
      </w:pPr>
      <w:r>
        <w:rPr>
          <w:rFonts w:ascii="Arial" w:hAnsi="Arial" w:eastAsia="Arial" w:cs="Arial"/>
          <w:color w:val="000000"/>
          <w:sz w:val="20"/>
          <w:szCs w:val="20"/>
        </w:rPr>
        <w:t xml:space="preserve">Liegt ein wichtiger Grund dafür vor, die Geschäftsführung zur
Unzeit zu kündigen, so ist ein geschäftsführender Gesellschafter
zur unzeitigen Kündigung berechtigt.</w:t>
      </w:r>
    </w:p>
    <w:p>
      <w:pPr>
        <w:widowControl w:val="on"/>
        <w:pBdr/>
        <w:spacing w:before="140" w:after="240" w:line="288" w:lineRule="auto"/>
        <w:ind w:left="0" w:right="0"/>
        <w:jc w:val="left"/>
      </w:pPr>
      <w:r>
        <w:rPr>
          <w:rFonts w:ascii="Arial" w:hAnsi="Arial" w:eastAsia="Arial" w:cs="Arial"/>
          <w:color w:val="000000"/>
          <w:sz w:val="20"/>
          <w:szCs w:val="20"/>
        </w:rPr>
        <w:t xml:space="preserve">Kündigt ein geschäftsführender Gesellschafter die
Geschäftsführung zur Unzeit, ohne dass ein wichtiger Grund für die
Unzeitigkeit vorliegt, dann haftet er der Gesellschaft für den
daraus entstehenden Schaden.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XIII. Beschlussfassung der Gesellschafter</w:t>
      </w:r>
    </w:p>
    <w:p>
      <w:pPr>
        <w:widowControl w:val="on"/>
        <w:pBdr/>
        <w:spacing w:before="140" w:after="240" w:line="288" w:lineRule="auto"/>
        <w:ind w:left="0" w:right="0"/>
        <w:jc w:val="left"/>
      </w:pPr>
      <w:r>
        <w:rPr>
          <w:rFonts w:ascii="Arial" w:hAnsi="Arial" w:eastAsia="Arial" w:cs="Arial"/>
          <w:color w:val="000000"/>
          <w:sz w:val="20"/>
          <w:szCs w:val="20"/>
        </w:rPr>
        <w:t xml:space="preserve">Fassen die Gesellschafter – etwa im Zuge der Geschäftsführung in
außergewöhnlichen Angelegenheiten – einen Beschluss, so ist die
Zustimmung aller zur Mitwirkung bei der Beschlussfassung berufenen
Gesellschafter erforderlich (Einstimmigkeitsprinzip).</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XIV. Wettbewerbsverbot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Komplementär darf nur mit Einwilligung aller übrigen
Gesellschafter</w:t>
      </w:r>
    </w:p>
    <w:p>
      <w:pPr>
        <w:numPr>
          <w:ilvl w:val="0"/>
          <w:numId w:val="43935900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im Geschäftszweig der Gesellschaft Geschäfte machen oder</w:t>
      </w:r>
    </w:p>
    <w:p>
      <w:pPr>
        <w:numPr>
          <w:ilvl w:val="0"/>
          <w:numId w:val="43935900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an einer anderen, gleichartigen Gesellschaft als unbeschränkt
haftender Gesellschafter teilnehmen.</w:t>
      </w:r>
    </w:p>
    <w:p>
      <w:pPr>
        <w:widowControl w:val="on"/>
        <w:pBdr/>
        <w:spacing w:before="140" w:after="240" w:line="288" w:lineRule="auto"/>
        <w:ind w:left="0" w:right="0"/>
        <w:jc w:val="left"/>
      </w:pPr>
      <w:r>
        <w:rPr>
          <w:rFonts w:ascii="Arial" w:hAnsi="Arial" w:eastAsia="Arial" w:cs="Arial"/>
          <w:color w:val="277DB9"/>
          <w:sz w:val="20"/>
          <w:szCs w:val="20"/>
        </w:rPr>
        <w:t xml:space="preserve">Ausdrücklich festgehalten wird, dass bei Unterfertigung dieses
Gesellschaftsvertrages keinem der übrigen Gesellschafter bekannt
ist, dass der Komplementär an einer anderen Gesellschaft als
unbeschränkt haftender Gesellschafter beteiligt wäre.</w:t>
      </w:r>
    </w:p>
    <w:p>
      <w:pPr>
        <w:widowControl w:val="on"/>
        <w:pBdr/>
        <w:spacing w:before="140" w:after="240" w:line="288" w:lineRule="auto"/>
        <w:ind w:left="0" w:right="0"/>
        <w:jc w:val="left"/>
      </w:pPr>
      <w:r>
        <w:rPr>
          <w:rFonts w:ascii="Arial" w:hAnsi="Arial" w:eastAsia="Arial" w:cs="Arial"/>
          <w:color w:val="277DB9"/>
          <w:sz w:val="20"/>
          <w:szCs w:val="20"/>
        </w:rPr>
        <w:t xml:space="preserve">Wenn der Komplementär das Wettbewerbsverbot verletzt, so kann
die Gesellschaft nach ihrer Wahl</w:t>
      </w:r>
    </w:p>
    <w:p>
      <w:pPr>
        <w:numPr>
          <w:ilvl w:val="0"/>
          <w:numId w:val="227172724"/>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vom Komplementär Schadenersatz fordern oder</w:t>
      </w:r>
    </w:p>
    <w:p>
      <w:pPr>
        <w:numPr>
          <w:ilvl w:val="0"/>
          <w:numId w:val="227172724"/>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vom Komplementär verlangen, dass er</w:t>
      </w:r>
      <w:r>
        <w:rPr>
          <w:rFonts w:ascii="Arial" w:hAnsi="Arial" w:eastAsia="Arial" w:cs="Arial"/>
          <w:color w:val="277DB9"/>
          <w:sz w:val="20"/>
          <w:szCs w:val="20"/>
        </w:rPr>
        <w:br/>
        <w:t xml:space="preserve"> 
</w:t>
      </w:r>
    </w:p>
    <w:p>
      <w:pPr>
        <w:numPr>
          <w:ilvl w:val="1"/>
          <w:numId w:val="227172724"/>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für eigene Rechnung gemachten Geschäfte als für Rechnung
der Gesellschaft eingegangen gelten lässt und</w:t>
      </w:r>
    </w:p>
    <w:p>
      <w:pPr>
        <w:numPr>
          <w:ilvl w:val="1"/>
          <w:numId w:val="227172724"/>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Vergütungen, die er aus Geschäften für fremde Rechnung bezogen
hat, an die Gesellschaft herausgibt bzw ihren Anspruch auf
derartige Vergütungen an die Gesellschaft abtritt.</w:t>
      </w:r>
    </w:p>
    <w:p>
      <w:pPr>
        <w:widowControl w:val="on"/>
        <w:pBdr/>
        <w:spacing w:before="140" w:after="240" w:line="288" w:lineRule="auto"/>
        <w:ind w:left="0" w:right="0"/>
        <w:jc w:val="left"/>
      </w:pPr>
      <w:r>
        <w:rPr>
          <w:rFonts w:ascii="Arial" w:hAnsi="Arial" w:eastAsia="Arial" w:cs="Arial"/>
          <w:color w:val="277DB9"/>
          <w:sz w:val="20"/>
          <w:szCs w:val="20"/>
        </w:rPr>
        <w:t xml:space="preserve">Über die Geltendmachung dieser Ansprüche entscheiden die übrigen
Gesellschafter (die Kommanditisten) durch Beschluss; der vom
Vorwurf der Verletzung des Wettbewerbsverbots betroffene
Komplementär ist von der Mitwirkung am Beschluss
ausgeschlossen.</w:t>
      </w:r>
    </w:p>
    <w:p>
      <w:pPr>
        <w:widowControl w:val="on"/>
        <w:pBdr/>
        <w:spacing w:before="140" w:after="240" w:line="288" w:lineRule="auto"/>
        <w:ind w:left="0" w:right="0"/>
        <w:jc w:val="left"/>
      </w:pPr>
      <w:r>
        <w:rPr>
          <w:rFonts w:ascii="Arial" w:hAnsi="Arial" w:eastAsia="Arial" w:cs="Arial"/>
          <w:color w:val="277DB9"/>
          <w:sz w:val="20"/>
          <w:szCs w:val="20"/>
        </w:rPr>
        <w:t xml:space="preserve">Die bezeichneten Ansprüche der Gesellschaft verjähren innerhalb
von drei Monaten ab dem Zeitpunkt, in dem die übrigen
Gesellschafter vom Abschluss des verbotswidrigen Geschäfts bzw von
der verbotswidrigen Beteiligung an einer anderen Gesellschaft
Kenntnis erlangt haben; unabhängig vom Vorliegen einer Kenntnis
tritt die Verjährung nach fünf Jahren ab Entstehung der Ansprüche
ein.</w:t>
      </w:r>
    </w:p>
    <w:p>
      <w:pPr>
        <w:widowControl w:val="on"/>
        <w:pBdr/>
        <w:spacing w:before="140" w:after="240" w:line="288" w:lineRule="auto"/>
        <w:ind w:left="0" w:right="0"/>
        <w:jc w:val="left"/>
      </w:pPr>
      <w:r>
        <w:rPr>
          <w:rFonts w:ascii="Arial" w:hAnsi="Arial" w:eastAsia="Arial" w:cs="Arial"/>
          <w:color w:val="277DB9"/>
          <w:sz w:val="20"/>
          <w:szCs w:val="20"/>
        </w:rPr>
        <w:t xml:space="preserve">Ausdrücklich festgehalten wird, dass durch die Regelungen dieses
Punktes etwaige Rechte der Gesellschafter, die Auflösung der
Gesellschaft zu verlangen, nicht berührt werden.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Der Gesellschafter Alfred Anis sowie der Gesellschafter Harald
Haube dürfen jeweils nur mit Einwilligung aller übrigen
Gesellschafter</w:t>
      </w:r>
    </w:p>
    <w:p>
      <w:pPr>
        <w:numPr>
          <w:ilvl w:val="0"/>
          <w:numId w:val="326032433"/>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im Geschäftszweig der Gesellschaft Geschäfte machen oder</w:t>
      </w:r>
    </w:p>
    <w:p>
      <w:pPr>
        <w:numPr>
          <w:ilvl w:val="0"/>
          <w:numId w:val="326032433"/>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an einer anderen, gleichartigen Gesellschaft als unbeschränkt
haftender Gesellschafter teilnehmen; der Teilnahme an einer anderen
Gesellschaft als unbeschränkt haftender Gesellschafter ist es
gleichzuhalten, wenn die betreffende Person diese andere
Gesellschaft faktisch beherrscht, mag sie auch formal etwa nur die
Rolle eines Kommanditisten oder eines GmbH-Gesellschafters
innehaben.</w:t>
      </w:r>
    </w:p>
    <w:p>
      <w:pPr>
        <w:widowControl w:val="on"/>
        <w:pBdr/>
        <w:spacing w:before="140" w:after="240" w:line="288" w:lineRule="auto"/>
        <w:ind w:left="0" w:right="0"/>
        <w:jc w:val="left"/>
      </w:pPr>
      <w:r>
        <w:rPr>
          <w:rFonts w:ascii="Arial" w:hAnsi="Arial" w:eastAsia="Arial" w:cs="Arial"/>
          <w:color w:val="277DB9"/>
          <w:sz w:val="20"/>
          <w:szCs w:val="20"/>
        </w:rPr>
        <w:t xml:space="preserve">Ausdrücklich festgehalten wird, dass bei Unterfertigung dieses
Gesellschaftsvertrages keinem der übrigen Gesellschafter bekannt
ist, dass der Gesellschafter Alfred Anis oder der Gesellschafter
Harald Haube an einer anderen Gesellschaft als unbeschränkt
haftender Gesellschafter beteiligt wäre bzw diese faktisch
beherrschen würde.</w:t>
      </w:r>
    </w:p>
    <w:p>
      <w:pPr>
        <w:widowControl w:val="on"/>
        <w:pBdr/>
        <w:spacing w:before="140" w:after="240" w:line="288" w:lineRule="auto"/>
        <w:ind w:left="0" w:right="0"/>
        <w:jc w:val="left"/>
      </w:pPr>
      <w:r>
        <w:rPr>
          <w:rFonts w:ascii="Arial" w:hAnsi="Arial" w:eastAsia="Arial" w:cs="Arial"/>
          <w:color w:val="277DB9"/>
          <w:sz w:val="20"/>
          <w:szCs w:val="20"/>
        </w:rPr>
        <w:t xml:space="preserve">Wenn ein Gesellschafter das Wettbewerbsverbot verletzt, so kann
die Gesellschaft nach ihrer Wahl</w:t>
      </w:r>
    </w:p>
    <w:p>
      <w:pPr>
        <w:numPr>
          <w:ilvl w:val="0"/>
          <w:numId w:val="652243462"/>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vom betreffenden Gesellschafter Schadenersatz fordern oder</w:t>
      </w:r>
    </w:p>
    <w:p>
      <w:pPr>
        <w:numPr>
          <w:ilvl w:val="0"/>
          <w:numId w:val="652243462"/>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vom betreffenden Gesellschafter verlangen, dass er
</w:t>
      </w:r>
    </w:p>
    <w:p>
      <w:pPr>
        <w:numPr>
          <w:ilvl w:val="1"/>
          <w:numId w:val="652243462"/>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für eigene Rechnung gemachten Geschäfte als für Rechnung
der Gesellschaft eingegangen gelten lässt und</w:t>
      </w:r>
    </w:p>
    <w:p>
      <w:pPr>
        <w:numPr>
          <w:ilvl w:val="1"/>
          <w:numId w:val="652243462"/>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Vergütungen, die er aus Geschäften für fremde Rechnung bezogen
hat, an die Gesellschaft herausgibt bzw ihren Anspruch auf
derartige Vergütungen an die Gesellschaft abtritt.</w:t>
      </w:r>
    </w:p>
    <w:p>
      <w:pPr>
        <w:widowControl w:val="on"/>
        <w:pBdr/>
        <w:spacing w:before="140" w:after="240" w:line="288" w:lineRule="auto"/>
        <w:ind w:left="0" w:right="0"/>
        <w:jc w:val="left"/>
      </w:pPr>
      <w:r>
        <w:rPr>
          <w:rFonts w:ascii="Arial" w:hAnsi="Arial" w:eastAsia="Arial" w:cs="Arial"/>
          <w:color w:val="277DB9"/>
          <w:sz w:val="20"/>
          <w:szCs w:val="20"/>
        </w:rPr>
        <w:t xml:space="preserve">Über die Geltendmachung dieser Ansprüche entscheiden die übrigen
Gesellschafter (die Kommanditisten) durch Beschluss; der vom
Vorwurf der Verletzung des Wettbewerbsverbots betroffene
Komplementär ist von der Mitwirkung am Beschluss
ausgeschlossen.</w:t>
      </w:r>
    </w:p>
    <w:p>
      <w:pPr>
        <w:widowControl w:val="on"/>
        <w:pBdr/>
        <w:spacing w:before="140" w:after="240" w:line="288" w:lineRule="auto"/>
        <w:ind w:left="0" w:right="0"/>
        <w:jc w:val="left"/>
      </w:pPr>
      <w:r>
        <w:rPr>
          <w:rFonts w:ascii="Arial" w:hAnsi="Arial" w:eastAsia="Arial" w:cs="Arial"/>
          <w:color w:val="277DB9"/>
          <w:sz w:val="20"/>
          <w:szCs w:val="20"/>
        </w:rPr>
        <w:t xml:space="preserve">Die bezeichneten Ansprüche der Gesellschaft verjähren innerhalb
von drei Monaten ab dem Zeitpunkt, in dem die übrigen
Gesellschafter vom Abschluss des verbotswidrigen Geschäfts bzw von
der verbotswidrigen Beteiligung an einer anderen Gesellschaft
Kenntnis erlangt haben; unabhängig vom Vorliegen einer Kenntnis
tritt die Verjährung nach fünf Jahren ab Entstehung der Ansprüche
ein.</w:t>
      </w:r>
    </w:p>
    <w:p>
      <w:pPr>
        <w:widowControl w:val="on"/>
        <w:pBdr/>
        <w:spacing w:before="140" w:after="240" w:line="288" w:lineRule="auto"/>
        <w:ind w:left="0" w:right="0"/>
        <w:jc w:val="left"/>
      </w:pPr>
      <w:r>
        <w:rPr>
          <w:rFonts w:ascii="Arial" w:hAnsi="Arial" w:eastAsia="Arial" w:cs="Arial"/>
          <w:color w:val="277DB9"/>
          <w:sz w:val="20"/>
          <w:szCs w:val="20"/>
        </w:rPr>
        <w:t xml:space="preserve">Ausdrücklich festgehalten wird, dass durch die Regelungen dieses
Punktes etwaige Rechte der Gesellschafter, die Auflösung der
Gesellschaft zu verlangen, nicht berührt werden.</w:t>
      </w:r>
    </w:p>
    <w:p>
      <w:pPr>
        <w:widowControl w:val="on"/>
        <w:pBdr/>
        <w:spacing w:before="140" w:after="240" w:line="288" w:lineRule="auto"/>
        <w:ind w:left="0" w:right="0"/>
        <w:jc w:val="left"/>
      </w:pPr>
      <w:r>
        <w:rPr>
          <w:rFonts w:ascii="Arial" w:hAnsi="Arial" w:eastAsia="Arial" w:cs="Arial"/>
          <w:color w:val="277DB9"/>
          <w:sz w:val="20"/>
          <w:szCs w:val="20"/>
        </w:rPr>
        <w:t xml:space="preserve">Die oben bezüglich der Gesellschafter Alfred Anis bzw Harald
Haube getroffenen Regelungen gelten auch für den Gesellschafter
Sigfried Süßer, für diesen allerdings mit der Maßgabe, dass ihm
eine Geschäftstätigkeit im Geschäftszweig der Gesellschaft
gestattet ist, sofern sich diese Tätigkeit auf den Betrieb des
Handwerks der Konditoren (Zuckerbäcker) einschließlich der
Lebzelter und der Konditen-, Gefrorenes- und
Schokoladenwarenerzeugung iSd § 94 Z 40 der
Gewerbeordnung beschränkt.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XV. Kontrollrechte der Gesellschafter</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Komplementär – mag er geschäftsführend sein oder nicht – ist
befugt,</w:t>
      </w:r>
    </w:p>
    <w:p>
      <w:pPr>
        <w:numPr>
          <w:ilvl w:val="0"/>
          <w:numId w:val="405109069"/>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von den Angelegenheiten der Gesellschaft zu
unterrichten,</w:t>
      </w:r>
    </w:p>
    <w:p>
      <w:pPr>
        <w:numPr>
          <w:ilvl w:val="0"/>
          <w:numId w:val="405109069"/>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Bücher und Schriften der Gesellschaft einzusehen und</w:t>
      </w:r>
    </w:p>
    <w:p>
      <w:pPr>
        <w:numPr>
          <w:ilvl w:val="0"/>
          <w:numId w:val="405109069"/>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aus den Büchern und Schriften einen Jahresabschluss
anzufertigen oder die Vorlage eines Jahresabschlusses zu
verlangen.</w:t>
      </w:r>
    </w:p>
    <w:p>
      <w:pPr>
        <w:widowControl w:val="on"/>
        <w:pBdr/>
        <w:spacing w:before="140" w:after="240" w:line="288" w:lineRule="auto"/>
        <w:ind w:left="0" w:right="0"/>
        <w:jc w:val="left"/>
      </w:pPr>
      <w:r>
        <w:rPr>
          <w:rFonts w:ascii="Arial" w:hAnsi="Arial" w:eastAsia="Arial" w:cs="Arial"/>
          <w:color w:val="277DB9"/>
          <w:sz w:val="20"/>
          <w:szCs w:val="20"/>
        </w:rPr>
        <w:t xml:space="preserve">Die Kommanditisten sind berechtigt,</w:t>
      </w:r>
    </w:p>
    <w:p>
      <w:pPr>
        <w:numPr>
          <w:ilvl w:val="0"/>
          <w:numId w:val="441147418"/>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eine Abschrift des Jahresabschlusses und</w:t>
      </w:r>
    </w:p>
    <w:p>
      <w:pPr>
        <w:numPr>
          <w:ilvl w:val="0"/>
          <w:numId w:val="441147418"/>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Richtigkeit des Jahresabschlusses unter Einsichtnahme in
die Bücher und Schriften zu prüfen;</w:t>
      </w:r>
    </w:p>
    <w:p>
      <w:pPr>
        <w:widowControl w:val="on"/>
        <w:pBdr/>
        <w:spacing w:before="140" w:after="240" w:line="288" w:lineRule="auto"/>
        <w:ind w:left="0" w:right="0"/>
        <w:jc w:val="left"/>
      </w:pPr>
      <w:r>
        <w:rPr>
          <w:rFonts w:ascii="Arial" w:hAnsi="Arial" w:eastAsia="Arial" w:cs="Arial"/>
          <w:color w:val="277DB9"/>
          <w:sz w:val="20"/>
          <w:szCs w:val="20"/>
        </w:rPr>
        <w:t xml:space="preserve">weiters kommt den Kommanditisten ein Auskunftsrecht zu, soweit
dies zur Ausübung ihrer Gesellschafterrechte nötig ist.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Alle Gesellschafter – mögen sie geschäftsführend sein oder nicht
– sind befugt,</w:t>
      </w:r>
    </w:p>
    <w:p>
      <w:pPr>
        <w:numPr>
          <w:ilvl w:val="0"/>
          <w:numId w:val="28720196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von den Angelegenheiten der Gesellschaft zu
unterrichten,</w:t>
      </w:r>
    </w:p>
    <w:p>
      <w:pPr>
        <w:numPr>
          <w:ilvl w:val="0"/>
          <w:numId w:val="28720196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Bücher und Schriften der Gesellschaft einzusehen und</w:t>
      </w:r>
    </w:p>
    <w:p>
      <w:pPr>
        <w:numPr>
          <w:ilvl w:val="0"/>
          <w:numId w:val="28720196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aus den Büchern und Schriften einen Jahresabschluss
anzufertigen oder die Vorlage eines Jahresabschlusses zu
verlangen.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3:</w:t>
      </w:r>
    </w:p>
    <w:p>
      <w:pPr>
        <w:widowControl w:val="on"/>
        <w:pBdr/>
        <w:spacing w:before="140" w:after="240" w:line="288" w:lineRule="auto"/>
        <w:ind w:left="0" w:right="0"/>
        <w:jc w:val="left"/>
      </w:pPr>
      <w:r>
        <w:rPr>
          <w:rFonts w:ascii="Arial" w:hAnsi="Arial" w:eastAsia="Arial" w:cs="Arial"/>
          <w:color w:val="277DB9"/>
          <w:sz w:val="20"/>
          <w:szCs w:val="20"/>
        </w:rPr>
        <w:t xml:space="preserve">Alle geschäftsführenden Gesellschafter sind befugt,</w:t>
      </w:r>
    </w:p>
    <w:p>
      <w:pPr>
        <w:numPr>
          <w:ilvl w:val="0"/>
          <w:numId w:val="117343744"/>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von den Angelegenheiten der Gesellschaft zu
unterrichten,</w:t>
      </w:r>
    </w:p>
    <w:p>
      <w:pPr>
        <w:numPr>
          <w:ilvl w:val="0"/>
          <w:numId w:val="117343744"/>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Bücher und Schriften der Gesellschaft einzusehen und</w:t>
      </w:r>
    </w:p>
    <w:p>
      <w:pPr>
        <w:numPr>
          <w:ilvl w:val="0"/>
          <w:numId w:val="117343744"/>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aus den Büchern und Schriften einen Jahresabschluss
anzufertigen oder die Vorlage eines Jahresabschlusses zu
verlangen.</w:t>
      </w:r>
    </w:p>
    <w:p>
      <w:pPr>
        <w:widowControl w:val="on"/>
        <w:pBdr/>
        <w:spacing w:before="140" w:after="240" w:line="288" w:lineRule="auto"/>
        <w:ind w:left="0" w:right="0"/>
        <w:jc w:val="left"/>
      </w:pPr>
      <w:r>
        <w:rPr>
          <w:rFonts w:ascii="Arial" w:hAnsi="Arial" w:eastAsia="Arial" w:cs="Arial"/>
          <w:color w:val="277DB9"/>
          <w:sz w:val="20"/>
          <w:szCs w:val="20"/>
        </w:rPr>
        <w:t xml:space="preserve">Nicht geschäftsführende Gesellschafter sind berechtigt,</w:t>
      </w:r>
    </w:p>
    <w:p>
      <w:pPr>
        <w:numPr>
          <w:ilvl w:val="0"/>
          <w:numId w:val="998627784"/>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eine Abschrift des Jahresabschlusses und</w:t>
      </w:r>
    </w:p>
    <w:p>
      <w:pPr>
        <w:numPr>
          <w:ilvl w:val="0"/>
          <w:numId w:val="998627784"/>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Richtigkeit des Jahresabschlusses unter Einsichtnahme in
die Bücher und Schriften zu prüfen;</w:t>
      </w:r>
    </w:p>
    <w:p>
      <w:pPr>
        <w:widowControl w:val="on"/>
        <w:pBdr/>
        <w:spacing w:before="140" w:after="240" w:line="288" w:lineRule="auto"/>
        <w:ind w:left="0" w:right="0"/>
        <w:jc w:val="left"/>
      </w:pPr>
      <w:r>
        <w:rPr>
          <w:rFonts w:ascii="Arial" w:hAnsi="Arial" w:eastAsia="Arial" w:cs="Arial"/>
          <w:color w:val="277DB9"/>
          <w:sz w:val="20"/>
          <w:szCs w:val="20"/>
        </w:rPr>
        <w:t xml:space="preserve">weiters kommt den nicht geschäftsführenden Gesellschaftern ein
Auskunftsrecht zu, soweit dies zur Ausübung ihrer
Gesellschafterrechte nötig ist.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XVI. Bestimmung von Gewinn und Verlust</w:t>
      </w:r>
    </w:p>
    <w:p>
      <w:pPr>
        <w:widowControl w:val="on"/>
        <w:pBdr/>
        <w:spacing w:before="140" w:after="240" w:line="288" w:lineRule="auto"/>
        <w:ind w:left="0" w:right="0"/>
        <w:jc w:val="left"/>
      </w:pPr>
      <w:r>
        <w:rPr>
          <w:rFonts w:ascii="Arial" w:hAnsi="Arial" w:eastAsia="Arial" w:cs="Arial"/>
          <w:color w:val="000000"/>
          <w:sz w:val="20"/>
          <w:szCs w:val="20"/>
        </w:rPr>
        <w:t xml:space="preserve">Am Schluss jedes Geschäftsjahres wird der Gewinn bzw Verlust des
betreffenden Jahres ermittelt, und zwar</w:t>
      </w:r>
    </w:p>
    <w:p>
      <w:pPr>
        <w:numPr>
          <w:ilvl w:val="0"/>
          <w:numId w:val="926288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Fall des Bestehens einer Rechnungslegungspflicht nach dem
Dritten Buch des Unternehmensgesetzbuches auf Basis des
Jahresabschlusses und</w:t>
      </w:r>
    </w:p>
    <w:p>
      <w:pPr>
        <w:numPr>
          <w:ilvl w:val="0"/>
          <w:numId w:val="926288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Fall des Nichtbestehens einer solchen Pflicht auf Basis
einer sonstigen Abrechnung.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XVII. Verteilung von Gewinn und Verlust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nach Punkt XVI. ermittelte Gewinn bzw Verlust eines
Geschäftsjahres wird den Gesellschaftern entsprechend den
nachstehenden Bestimmungen zugewiesen:</w:t>
      </w:r>
    </w:p>
    <w:p>
      <w:pPr>
        <w:numPr>
          <w:ilvl w:val="0"/>
          <w:numId w:val="419570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Zunächst wird dem Komplementär ein im Hinblick auf die ihn
treffende Aufgabe der Führung der Geschäfte der Gesellschaft
angemessener Teilbetrag des Jahresgewinns zugewiesen.</w:t>
      </w:r>
    </w:p>
    <w:p>
      <w:pPr>
        <w:numPr>
          <w:ilvl w:val="0"/>
          <w:numId w:val="419570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Der den genannten Betrag übersteigende Teil des Jahresgewinns
wird den Kommanditisten im Verhältnis ihrer Beteiligung an der
Gesellschaft (Punkt VIII.) zugewiesen, also</w:t>
      </w:r>
      <w:r>
        <w:rPr>
          <w:rFonts w:ascii="Arial" w:hAnsi="Arial" w:eastAsia="Arial" w:cs="Arial"/>
          <w:color w:val="277DB9"/>
          <w:sz w:val="20"/>
          <w:szCs w:val="20"/>
        </w:rPr>
        <w:br/>
        <w:t xml:space="preserve"> 
</w:t>
      </w:r>
    </w:p>
    <w:p>
      <w:pPr>
        <w:numPr>
          <w:ilvl w:val="1"/>
          <w:numId w:val="419570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Alfred Anis 50 %,</w:t>
      </w:r>
    </w:p>
    <w:p>
      <w:pPr>
        <w:numPr>
          <w:ilvl w:val="1"/>
          <w:numId w:val="419570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Sigfried Süßer 25 % und</w:t>
      </w:r>
    </w:p>
    <w:p>
      <w:pPr>
        <w:numPr>
          <w:ilvl w:val="1"/>
          <w:numId w:val="419570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Harald Haube 25 %.</w:t>
      </w:r>
    </w:p>
    <w:p>
      <w:pPr>
        <w:numPr>
          <w:ilvl w:val="0"/>
          <w:numId w:val="419570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Ein etwaiger Verlust des Geschäftsjahres wird den
Gesellschaftern im Verhältnis ihrer Beteiligung an der Gesellschaft
zugewiesen.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Der nach Punkt XVI. ermittelte Gewinn bzw Verlust eines
Geschäftsjahres wird den Gesellschaftern entsprechend dem
Verhältnis ihrer Beteiligung an der Gesellschaft (Punkt VIII.)
zugewiesen, also</w:t>
      </w:r>
    </w:p>
    <w:p>
      <w:pPr>
        <w:numPr>
          <w:ilvl w:val="0"/>
          <w:numId w:val="341037422"/>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Alfred Anis 50 %,</w:t>
      </w:r>
    </w:p>
    <w:p>
      <w:pPr>
        <w:numPr>
          <w:ilvl w:val="0"/>
          <w:numId w:val="341037422"/>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Sigfried Süßer 25 % und</w:t>
      </w:r>
    </w:p>
    <w:p>
      <w:pPr>
        <w:numPr>
          <w:ilvl w:val="0"/>
          <w:numId w:val="341037422"/>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Harald Haube 25 %.</w:t>
      </w:r>
    </w:p>
    <w:p>
      <w:pPr>
        <w:widowControl w:val="on"/>
        <w:pBdr/>
        <w:spacing w:before="140" w:after="240" w:line="288" w:lineRule="auto"/>
        <w:ind w:left="0" w:right="0"/>
        <w:jc w:val="left"/>
      </w:pPr>
      <w:r>
        <w:rPr>
          <w:rFonts w:ascii="Arial" w:hAnsi="Arial" w:eastAsia="Arial" w:cs="Arial"/>
          <w:color w:val="277DB9"/>
          <w:sz w:val="20"/>
          <w:szCs w:val="20"/>
        </w:rPr>
        <w:t xml:space="preserve">Ein etwaiger Verlust des Geschäftsjahres wird den
Gesellschaftern im Verhältnis ihrer Beteiligung an der Gesellschaft
zugewiesen.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XVIII. Recht auf Gewinnauszahlung</w:t>
      </w:r>
    </w:p>
    <w:p>
      <w:pPr>
        <w:widowControl w:val="on"/>
        <w:pBdr/>
        <w:spacing w:before="140" w:after="240" w:line="288" w:lineRule="auto"/>
        <w:ind w:left="0" w:right="0"/>
        <w:jc w:val="left"/>
      </w:pPr>
      <w:r>
        <w:rPr>
          <w:rFonts w:ascii="Arial" w:hAnsi="Arial" w:eastAsia="Arial" w:cs="Arial"/>
          <w:color w:val="000000"/>
          <w:sz w:val="20"/>
          <w:szCs w:val="20"/>
        </w:rPr>
        <w:t xml:space="preserve">Ist einem Gesellschafter ein Gewinnanteil zugewiesen worden, so
hat er einen Anspruch auf dessen Auszahlung.</w:t>
      </w:r>
    </w:p>
    <w:p>
      <w:pPr>
        <w:widowControl w:val="on"/>
        <w:pBdr/>
        <w:spacing w:before="140" w:after="240" w:line="288" w:lineRule="auto"/>
        <w:ind w:left="0" w:right="0"/>
        <w:jc w:val="left"/>
      </w:pPr>
      <w:r>
        <w:rPr>
          <w:rFonts w:ascii="Arial" w:hAnsi="Arial" w:eastAsia="Arial" w:cs="Arial"/>
          <w:color w:val="000000"/>
          <w:sz w:val="20"/>
          <w:szCs w:val="20"/>
        </w:rPr>
        <w:t xml:space="preserve">Der Komplementär kann den bezeichneten Anspruch jedoch nicht
geltend machen soweit</w:t>
      </w:r>
    </w:p>
    <w:p>
      <w:pPr>
        <w:numPr>
          <w:ilvl w:val="0"/>
          <w:numId w:val="5055555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Auszahlung zum offenbaren Schaden der Gesellschaft
gereichen würde,</w:t>
      </w:r>
    </w:p>
    <w:p>
      <w:pPr>
        <w:numPr>
          <w:ilvl w:val="0"/>
          <w:numId w:val="5055555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Gesellschafter etwas anderes beschließen oder</w:t>
      </w:r>
    </w:p>
    <w:p>
      <w:pPr>
        <w:numPr>
          <w:ilvl w:val="0"/>
          <w:numId w:val="5055555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 der Komplementär, vereinbarungswidrig seine Einlage (Punkt
VIII.) nicht geleistet hat.</w:t>
      </w:r>
    </w:p>
    <w:p>
      <w:pPr>
        <w:widowControl w:val="on"/>
        <w:pBdr/>
        <w:spacing w:before="140" w:after="240" w:line="288" w:lineRule="auto"/>
        <w:ind w:left="0" w:right="0"/>
        <w:jc w:val="left"/>
      </w:pPr>
      <w:r>
        <w:rPr>
          <w:rFonts w:ascii="Arial" w:hAnsi="Arial" w:eastAsia="Arial" w:cs="Arial"/>
          <w:color w:val="000000"/>
          <w:sz w:val="20"/>
          <w:szCs w:val="20"/>
        </w:rPr>
        <w:t xml:space="preserve">Die Kommanditisten können die Auszahlung ihres jeweiligen
Gewinnanteils außerdem auch dann nicht verlangen, soweit die
bedungene Einlage (Punkt VIII.) des betreffenden Kommanditisten</w:t>
      </w:r>
    </w:p>
    <w:p>
      <w:pPr>
        <w:numPr>
          <w:ilvl w:val="0"/>
          <w:numId w:val="8578833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nicht geleistet ist oder</w:t>
      </w:r>
    </w:p>
    <w:p>
      <w:pPr>
        <w:numPr>
          <w:ilvl w:val="0"/>
          <w:numId w:val="8578833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dem betreffenden Kommanditisten zugewiesene Verluste
unter den auf die bedungene Einlage geleisteten Betrag gemindert
worden ist oder</w:t>
      </w:r>
    </w:p>
    <w:p>
      <w:pPr>
        <w:numPr>
          <w:ilvl w:val="0"/>
          <w:numId w:val="8578833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die Auszahlung des Gewinnanteils unter den auf die
bedungene Einlage geleisteten Betrag gemindert würde.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XIX. Gewinnunabhängiges Entnahmerecht
(Aufwendungsersatz/Herausgabepflicht)</w:t>
      </w:r>
    </w:p>
    <w:p>
      <w:pPr>
        <w:widowControl w:val="on"/>
        <w:pBdr/>
        <w:spacing w:before="140" w:after="240" w:line="288" w:lineRule="auto"/>
        <w:ind w:left="0" w:right="0"/>
        <w:jc w:val="left"/>
      </w:pPr>
      <w:r>
        <w:rPr>
          <w:rFonts w:ascii="Arial" w:hAnsi="Arial" w:eastAsia="Arial" w:cs="Arial"/>
          <w:color w:val="000000"/>
          <w:sz w:val="20"/>
          <w:szCs w:val="20"/>
        </w:rPr>
        <w:t xml:space="preserve">Außerhalb des Punktes XVIII. darf ein Gesellschafter Entnahmen
nur mit Einwilligung aller übrigen Gesellschafter tätigen.</w:t>
      </w:r>
    </w:p>
    <w:p>
      <w:pPr>
        <w:widowControl w:val="on"/>
        <w:pBdr/>
        <w:spacing w:before="140" w:after="240" w:line="288" w:lineRule="auto"/>
        <w:ind w:left="0" w:right="0"/>
        <w:jc w:val="left"/>
      </w:pPr>
      <w:r>
        <w:rPr>
          <w:rFonts w:ascii="Arial" w:hAnsi="Arial" w:eastAsia="Arial" w:cs="Arial"/>
          <w:color w:val="000000"/>
          <w:sz w:val="20"/>
          <w:szCs w:val="20"/>
        </w:rPr>
        <w:t xml:space="preserve">Wenn ein Gesellschafter</w:t>
      </w:r>
    </w:p>
    <w:p>
      <w:pPr>
        <w:numPr>
          <w:ilvl w:val="0"/>
          <w:numId w:val="3063941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einer Angelegenheit der Gesellschaft Aufwendungen macht, von
denen er nach den gegebenen Umständen annehmen darf, dass sie
erforderlich sind, oder</w:t>
      </w:r>
    </w:p>
    <w:p>
      <w:pPr>
        <w:numPr>
          <w:ilvl w:val="0"/>
          <w:numId w:val="3063941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unmittelbar durch die von ihm für die Gesellschaft getätigte
Geschäftsführung oder aus Gefahren, die mit dieser Geschäftsführung
untrennbar verbunden sind, Verluste erleidet,</w:t>
      </w:r>
    </w:p>
    <w:p>
      <w:pPr>
        <w:widowControl w:val="on"/>
        <w:pBdr/>
        <w:spacing w:before="140" w:after="240" w:line="288" w:lineRule="auto"/>
        <w:ind w:left="0" w:right="0"/>
        <w:jc w:val="left"/>
      </w:pPr>
      <w:r>
        <w:rPr>
          <w:rFonts w:ascii="Arial" w:hAnsi="Arial" w:eastAsia="Arial" w:cs="Arial"/>
          <w:color w:val="000000"/>
          <w:sz w:val="20"/>
          <w:szCs w:val="20"/>
        </w:rPr>
        <w:t xml:space="preserve">dann kommt dem Gesellschafter ein Ersatzanspruch gegen die
Gesellschaft zu.</w:t>
      </w:r>
    </w:p>
    <w:p>
      <w:pPr>
        <w:widowControl w:val="on"/>
        <w:pBdr/>
        <w:spacing w:before="140" w:after="240" w:line="288" w:lineRule="auto"/>
        <w:ind w:left="0" w:right="0"/>
        <w:jc w:val="left"/>
      </w:pPr>
      <w:r>
        <w:rPr>
          <w:rFonts w:ascii="Arial" w:hAnsi="Arial" w:eastAsia="Arial" w:cs="Arial"/>
          <w:color w:val="000000"/>
          <w:sz w:val="20"/>
          <w:szCs w:val="20"/>
        </w:rPr>
        <w:t xml:space="preserve">Wendet ein Gesellschafter unter den oben umschriebenen
Voraussetzungen für die Gesellschaft Geld auf, so ist dieses Geld
vom Tag seiner Aufwendung an angemessen zu verzinsen.</w:t>
      </w:r>
    </w:p>
    <w:p>
      <w:pPr>
        <w:widowControl w:val="on"/>
        <w:pBdr/>
        <w:spacing w:before="140" w:after="240" w:line="288" w:lineRule="auto"/>
        <w:ind w:left="0" w:right="0"/>
        <w:jc w:val="left"/>
      </w:pPr>
      <w:r>
        <w:rPr>
          <w:rFonts w:ascii="Arial" w:hAnsi="Arial" w:eastAsia="Arial" w:cs="Arial"/>
          <w:color w:val="000000"/>
          <w:sz w:val="20"/>
          <w:szCs w:val="20"/>
        </w:rPr>
        <w:t xml:space="preserve">Für die Tätigung von Aufwendungen, die zur Erledigung von
Gesellschaftsangelegenheiten notwendig sind, kann der
Gesellschafter einen Vorschuss verlangen.</w:t>
      </w:r>
    </w:p>
    <w:p>
      <w:pPr>
        <w:widowControl w:val="on"/>
        <w:pBdr/>
        <w:spacing w:before="140" w:after="240" w:line="288" w:lineRule="auto"/>
        <w:ind w:left="0" w:right="0"/>
        <w:jc w:val="left"/>
      </w:pPr>
      <w:r>
        <w:rPr>
          <w:rFonts w:ascii="Arial" w:hAnsi="Arial" w:eastAsia="Arial" w:cs="Arial"/>
          <w:color w:val="000000"/>
          <w:sz w:val="20"/>
          <w:szCs w:val="20"/>
        </w:rPr>
        <w:t xml:space="preserve">Hat ein Gesellschafter</w:t>
      </w:r>
    </w:p>
    <w:p>
      <w:pPr>
        <w:numPr>
          <w:ilvl w:val="0"/>
          <w:numId w:val="70745909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etwas zur Führung von Geschäften der Gesellschaft erhalten
oder</w:t>
      </w:r>
    </w:p>
    <w:p>
      <w:pPr>
        <w:numPr>
          <w:ilvl w:val="0"/>
          <w:numId w:val="70745909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 einer solchen Geschäftsführung etwas erlangt,</w:t>
      </w:r>
    </w:p>
    <w:p>
      <w:pPr>
        <w:widowControl w:val="on"/>
        <w:pBdr/>
        <w:spacing w:before="140" w:after="240" w:line="288" w:lineRule="auto"/>
        <w:ind w:left="0" w:right="0"/>
        <w:jc w:val="left"/>
      </w:pPr>
      <w:r>
        <w:rPr>
          <w:rFonts w:ascii="Arial" w:hAnsi="Arial" w:eastAsia="Arial" w:cs="Arial"/>
          <w:color w:val="000000"/>
          <w:sz w:val="20"/>
          <w:szCs w:val="20"/>
        </w:rPr>
        <w:t xml:space="preserve">dann ist er verpflichtet, das Erhaltene bzw Erlangte an die
Gesellschaft herauszugeben.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 Vertretung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Der Komplementär vertritt die Gesellschaft selbstständig.</w:t>
      </w:r>
    </w:p>
    <w:p>
      <w:pPr>
        <w:widowControl w:val="on"/>
        <w:pBdr/>
        <w:spacing w:before="140" w:after="240" w:line="288" w:lineRule="auto"/>
        <w:ind w:left="0" w:right="0"/>
        <w:jc w:val="left"/>
      </w:pPr>
      <w:r>
        <w:rPr>
          <w:rFonts w:ascii="Arial" w:hAnsi="Arial" w:eastAsia="Arial" w:cs="Arial"/>
          <w:color w:val="000000"/>
          <w:sz w:val="20"/>
          <w:szCs w:val="20"/>
        </w:rPr>
        <w:t xml:space="preserve">Die Vertretungsmacht erstreckt sich auf alle gerichtlichen und
außergerichtlichen Geschäfte und Rechtshandlungen einschließlich
der Veräußerung und Belastung von Grundstücken sowie der Erteilung
und des Widerrufs einer Prokura.</w:t>
      </w:r>
    </w:p>
    <w:p>
      <w:pPr>
        <w:widowControl w:val="on"/>
        <w:pBdr/>
        <w:spacing w:before="140" w:after="240" w:line="288" w:lineRule="auto"/>
        <w:ind w:left="0" w:right="0"/>
        <w:jc w:val="left"/>
      </w:pPr>
      <w:r>
        <w:rPr>
          <w:rFonts w:ascii="Arial" w:hAnsi="Arial" w:eastAsia="Arial" w:cs="Arial"/>
          <w:color w:val="000000"/>
          <w:sz w:val="20"/>
          <w:szCs w:val="20"/>
        </w:rPr>
        <w:t xml:space="preserve">Nicht von der Vertretungsmacht erfasst sind Geschäfte und
Rechtshandlungen, welche</w:t>
      </w:r>
    </w:p>
    <w:p>
      <w:pPr>
        <w:numPr>
          <w:ilvl w:val="0"/>
          <w:numId w:val="9036491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Grundlagen der Gesellschaft betreffen oder</w:t>
      </w:r>
    </w:p>
    <w:p>
      <w:pPr>
        <w:numPr>
          <w:ilvl w:val="0"/>
          <w:numId w:val="9036491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Beziehungen der Gesellschafter untereinander regeln.</w:t>
      </w:r>
    </w:p>
    <w:p>
      <w:pPr>
        <w:widowControl w:val="on"/>
        <w:pBdr/>
        <w:spacing w:before="140" w:after="240" w:line="288" w:lineRule="auto"/>
        <w:ind w:left="0" w:right="0"/>
        <w:jc w:val="left"/>
      </w:pPr>
      <w:r>
        <w:rPr>
          <w:rFonts w:ascii="Arial" w:hAnsi="Arial" w:eastAsia="Arial" w:cs="Arial"/>
          <w:color w:val="000000"/>
          <w:sz w:val="20"/>
          <w:szCs w:val="20"/>
        </w:rPr>
        <w:t xml:space="preserve">Dem Gesellschafter Sigfried Süßer wird Prokura iSd §§ 48 ff
des Unternehmensgesetzbuches erteilt; ausdrücklich wird
festgehalten, dass sich die Prokura nicht auf den in § 49
Absatz 2 des Unternehmensgesetzbuches erstreckt.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Es wird ein zusätzlicher Absatz des Inhalts angefügt:</w:t>
      </w:r>
    </w:p>
    <w:p>
      <w:pPr>
        <w:widowControl w:val="on"/>
        <w:pBdr/>
        <w:spacing w:before="140" w:after="240" w:line="288" w:lineRule="auto"/>
        <w:ind w:left="0" w:right="0"/>
        <w:jc w:val="left"/>
      </w:pPr>
      <w:r>
        <w:rPr>
          <w:rFonts w:ascii="Arial" w:hAnsi="Arial" w:eastAsia="Arial" w:cs="Arial"/>
          <w:color w:val="277DB9"/>
          <w:sz w:val="20"/>
          <w:szCs w:val="20"/>
        </w:rPr>
        <w:t xml:space="preserve">„Dem Gesellschafter Harald Haube wird Prokura iSd §§ 48 ff
des Unternehmensgesetzbuches erteilt; ausdrücklich wird
festgehalten, dass sich die Prokura nicht auf den in § 49
Absatz 2 des Unternehmensgesetzbuches erstreckt.“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XXI. Entziehung der Vertretungsmacht</w:t>
      </w:r>
    </w:p>
    <w:p>
      <w:pPr>
        <w:widowControl w:val="on"/>
        <w:pBdr/>
        <w:spacing w:before="140" w:after="240" w:line="288" w:lineRule="auto"/>
        <w:ind w:left="0" w:right="0"/>
        <w:jc w:val="left"/>
      </w:pPr>
      <w:r>
        <w:rPr>
          <w:rFonts w:ascii="Arial" w:hAnsi="Arial" w:eastAsia="Arial" w:cs="Arial"/>
          <w:color w:val="000000"/>
          <w:sz w:val="20"/>
          <w:szCs w:val="20"/>
        </w:rPr>
        <w:t xml:space="preserve">Einem Komplementär kann die Vertretungsmacht auf Antrag der
übrigen Gesellschafter durch gerichtliche Entscheidung entzogen
werden, wenn ein wichtiger Grund, etwa</w:t>
      </w:r>
    </w:p>
    <w:p>
      <w:pPr>
        <w:numPr>
          <w:ilvl w:val="0"/>
          <w:numId w:val="6700713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grobe Pflichtverletzung durch den Komplementär oder</w:t>
      </w:r>
    </w:p>
    <w:p>
      <w:pPr>
        <w:numPr>
          <w:ilvl w:val="0"/>
          <w:numId w:val="67007137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Unfähigkeit des Komplementärs zur ordnungsgemäßen
Vertretung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vorliegt.</w:t>
      </w:r>
    </w:p>
    <w:p>
      <w:pPr>
        <w:widowControl w:val="on"/>
        <w:pBdr/>
        <w:spacing w:before="140" w:after="240" w:line="288" w:lineRule="auto"/>
        <w:ind w:left="0" w:right="0"/>
        <w:jc w:val="left"/>
      </w:pPr>
      <w:r>
        <w:rPr>
          <w:rFonts w:ascii="Arial" w:hAnsi="Arial" w:eastAsia="Arial" w:cs="Arial"/>
          <w:color w:val="000000"/>
          <w:sz w:val="20"/>
          <w:szCs w:val="20"/>
        </w:rPr>
        <w:t xml:space="preserve">Jeder andere Gesellschafter ist verpflichtet, im Fall des
Vorliegens eines wichtigen Grundes am Verfahren zum Entzug der
Vertretungsmacht des betreffenden Gesellschafters mitzuwirken.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XXII. Haftung der Gesellschafter für Verbindlichkeiten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Für Verbindlichkeiten der Gesellschaft haften die Gesellschafter
den Gläubigern entsprechend den nachstehenden Bestimmungen als
Gesamtschuldner.</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dann, wenn ein Gesellschafter wegen
einer Verbindlichkeit der Gesellschaft in Anspruch genommen wird,
er dem Gläubiger Einwendungen, die nicht in der Person des
Gesellschafters selbst begründet sind, nur insoweit entgegenhalten
kann, als diese Einwendungen von der Gesellschaft erhoben werden
können.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weiters, dass der Gesellschafter die
Befriedigung eines Gläubigers verweigern kann, solange</w:t>
      </w:r>
    </w:p>
    <w:p>
      <w:pPr>
        <w:numPr>
          <w:ilvl w:val="0"/>
          <w:numId w:val="5586415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 das Recht zusteht, das der betreffenden
Verbindlichkeit zugrunde liegende Rechtsgeschäft anzufechten,
oder</w:t>
      </w:r>
    </w:p>
    <w:p>
      <w:pPr>
        <w:numPr>
          <w:ilvl w:val="0"/>
          <w:numId w:val="5586415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Gläubiger sich durch Aufrechnung gegen eine fällige
Forderung der Gesellschaft befriedigen kann.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schließlich, dass die Kommanditisten nur bis
zur Höhe der ins Firmenbuch einzutragenden Haftsummen von jeweils
EUR 20.000,– (zwanzigtausend Euro) von Gläubigern der
Gesellschaft unter den gesetzlichen Bedingungen unmittelbar in
Anspruch genommen werden können.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XXIII. Austrittskündigung des Gesellschafters</w:t>
      </w:r>
    </w:p>
    <w:p>
      <w:pPr>
        <w:widowControl w:val="on"/>
        <w:pBdr/>
        <w:spacing w:before="140" w:after="240" w:line="288" w:lineRule="auto"/>
        <w:ind w:left="0" w:right="0"/>
        <w:jc w:val="left"/>
      </w:pPr>
      <w:r>
        <w:rPr>
          <w:rFonts w:ascii="Arial" w:hAnsi="Arial" w:eastAsia="Arial" w:cs="Arial"/>
          <w:color w:val="000000"/>
          <w:sz w:val="20"/>
          <w:szCs w:val="20"/>
        </w:rPr>
        <w:t xml:space="preserve">Jedem Gesellschafter wird ausdrücklich das Recht eingeräumt,
seine Zugehörigkeit zur Gesellschaft</w:t>
      </w:r>
    </w:p>
    <w:p>
      <w:pPr>
        <w:numPr>
          <w:ilvl w:val="0"/>
          <w:numId w:val="7391373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 Einhaltung einer Kündigungsfrist von sechs Monaten</w:t>
      </w:r>
    </w:p>
    <w:p>
      <w:pPr>
        <w:numPr>
          <w:ilvl w:val="0"/>
          <w:numId w:val="7391373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zum 30.06. oder zum 31.12. eines jeden Kalenderjahres</w:t>
      </w:r>
    </w:p>
    <w:p>
      <w:pPr>
        <w:widowControl w:val="on"/>
        <w:pBdr/>
        <w:spacing w:before="140" w:after="240" w:line="288" w:lineRule="auto"/>
        <w:ind w:left="0" w:right="0"/>
        <w:jc w:val="left"/>
      </w:pPr>
      <w:r>
        <w:rPr>
          <w:rFonts w:ascii="Arial" w:hAnsi="Arial" w:eastAsia="Arial" w:cs="Arial"/>
          <w:color w:val="000000"/>
          <w:sz w:val="20"/>
          <w:szCs w:val="20"/>
        </w:rPr>
        <w:t xml:space="preserve">zu kündigen, dies mit der Wirkung, dass er zum betreffenden
Kündigungstermin als Gesellschafter aus der Gesellschaft
ausscheidet.</w:t>
      </w:r>
    </w:p>
    <w:p>
      <w:pPr>
        <w:widowControl w:val="on"/>
        <w:pBdr/>
        <w:spacing w:before="140" w:after="240" w:line="288" w:lineRule="auto"/>
        <w:ind w:left="0" w:right="0"/>
        <w:jc w:val="left"/>
      </w:pPr>
      <w:r>
        <w:rPr>
          <w:rFonts w:ascii="Arial" w:hAnsi="Arial" w:eastAsia="Arial" w:cs="Arial"/>
          <w:color w:val="000000"/>
          <w:sz w:val="20"/>
          <w:szCs w:val="20"/>
        </w:rPr>
        <w:t xml:space="preserve">Dem ausgeschiedenen Gesellschafter steht ein Abfindungsbetrag
zu. Kommt eine Einigung über den Abfindungsbetrag bzw den
Abtretungspreis nicht zustande, so bestimmt sich dieser anteilig
aus der auf den Stichtag des Ausscheidens zu entrichtenden
Auseinandersetzungsbilanz. In dieser Bilanz sind alle durch die
Inanspruchnahme steuerlicher Investitionsbegünstigungen gebildete
stille Reserven aufzulösen und allfällige unbewegliche
Wirtschaftsgüter des Anlagevermögens mit 70 % (siebzig von
Hundert) des durch einen gerichtlich beeideten Sachverständigen zu
bestimmenden Schätzwertes anzusetzen. Ein Firmenwert (good will)
ist nicht anzusetzen.</w:t>
      </w:r>
    </w:p>
    <w:p>
      <w:pPr>
        <w:widowControl w:val="on"/>
        <w:pBdr/>
        <w:spacing w:before="140" w:after="240" w:line="288" w:lineRule="auto"/>
        <w:ind w:left="0" w:right="0"/>
        <w:jc w:val="left"/>
      </w:pPr>
      <w:r>
        <w:rPr>
          <w:rFonts w:ascii="Arial" w:hAnsi="Arial" w:eastAsia="Arial" w:cs="Arial"/>
          <w:color w:val="000000"/>
          <w:sz w:val="20"/>
          <w:szCs w:val="20"/>
        </w:rPr>
        <w:t xml:space="preserve">Das Abfindungsguthaben ist in fünf gleich bleibenden
Jahresraten, die erste Rate beginnend ein Jahr nach dem
Ausscheidungsstichtag, an den ausscheidenden Gesellschafter bzw
dessen Rechtsnachfolger auszuzahlen. Die Ratenzahlungen sind
wertgesichert auf der Basis des vom österreichischen statistischen
Zentralamt in Wien zu verlautbarenden Verbraucherpreisindex 2005 zu
leisten. Sollte dieser Index nicht mehr erscheinen, hat der an
dessen Stelle tretende Index für die Valorisierungsberechnung zu
gelten. Sollte auch ein solcher nicht mehr veröffentlicht werden,
ist ein ähnlicher Wertmesser nach Wahl des Übernehmers des
Gesellschaftsanteils festzulegen.</w:t>
      </w:r>
    </w:p>
    <w:p>
      <w:pPr>
        <w:widowControl w:val="on"/>
        <w:pBdr/>
        <w:spacing w:before="140" w:after="240" w:line="288" w:lineRule="auto"/>
        <w:ind w:left="0" w:right="0"/>
        <w:jc w:val="left"/>
      </w:pPr>
      <w:r>
        <w:rPr>
          <w:rFonts w:ascii="Arial" w:hAnsi="Arial" w:eastAsia="Arial" w:cs="Arial"/>
          <w:color w:val="000000"/>
          <w:sz w:val="20"/>
          <w:szCs w:val="20"/>
        </w:rPr>
        <w:t xml:space="preserve">Hinsichtlich solcher Geschäfte, die im Zeitpunkt des
Ausscheidens des betreffenden Gesellschafters in Schwebe sind,
gilt:</w:t>
      </w:r>
    </w:p>
    <w:p>
      <w:pPr>
        <w:widowControl w:val="on"/>
        <w:pBdr/>
        <w:spacing w:before="140" w:after="240" w:line="288" w:lineRule="auto"/>
        <w:ind w:left="0" w:right="0"/>
        <w:jc w:val="left"/>
      </w:pPr>
      <w:r>
        <w:rPr>
          <w:rFonts w:ascii="Arial" w:hAnsi="Arial" w:eastAsia="Arial" w:cs="Arial"/>
          <w:color w:val="000000"/>
          <w:sz w:val="20"/>
          <w:szCs w:val="20"/>
        </w:rPr>
        <w:t xml:space="preserve">Der ausgeschiedene Gesellschafter nimmt am Gewinn und am Verlust
teil, der sich aus den zur Zeit seines Ausscheidens schwebenden
Geschäften ergibt. Die Gesellschaft ist berechtigt, diese Geschäfte
so zu beenden, wie es ihr am vorteilhaftesten erscheint.</w:t>
      </w:r>
    </w:p>
    <w:p>
      <w:pPr>
        <w:widowControl w:val="on"/>
        <w:pBdr/>
        <w:spacing w:before="140" w:after="240" w:line="288" w:lineRule="auto"/>
        <w:ind w:left="0" w:right="0"/>
        <w:jc w:val="left"/>
      </w:pPr>
      <w:r>
        <w:rPr>
          <w:rFonts w:ascii="Arial" w:hAnsi="Arial" w:eastAsia="Arial" w:cs="Arial"/>
          <w:color w:val="000000"/>
          <w:sz w:val="20"/>
          <w:szCs w:val="20"/>
        </w:rPr>
        <w:t xml:space="preserve">Der ausgeschiedene Gesellschafter kann am Schluss jedes
Geschäftsjahres Rechenschaft über die inzwischen beendeten
Geschäfte, Auszahlung des ihm gebührenden Betrages und Auskunft
über den Stand der noch schwebenden Geschäfte verlangen.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XXIV. Übertragung von Gesellschaftsanteilen</w:t>
      </w:r>
    </w:p>
    <w:p>
      <w:pPr>
        <w:widowControl w:val="on"/>
        <w:pBdr/>
        <w:spacing w:before="140" w:after="240" w:line="288" w:lineRule="auto"/>
        <w:ind w:left="0" w:right="0"/>
        <w:jc w:val="left"/>
      </w:pPr>
      <w:r>
        <w:rPr>
          <w:rFonts w:ascii="Arial" w:hAnsi="Arial" w:eastAsia="Arial" w:cs="Arial"/>
          <w:color w:val="000000"/>
          <w:sz w:val="20"/>
          <w:szCs w:val="20"/>
        </w:rPr>
        <w:t xml:space="preserve">Die Übertragung, Teilung oder Belastung eines
Gesellschaftsanteils ist mit Zustimmung durch einstimmigen
Gesellschafterbeschluss möglich.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XXV. Auflösung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auf unbestimmte Zeit errichtete (Punkt VI.) Gesellschaft
wird aufgelöst:</w:t>
      </w:r>
    </w:p>
    <w:p>
      <w:pPr>
        <w:numPr>
          <w:ilvl w:val="0"/>
          <w:numId w:val="7434032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Beschluss der Gesellschafter;</w:t>
      </w:r>
    </w:p>
    <w:p>
      <w:pPr>
        <w:numPr>
          <w:ilvl w:val="0"/>
          <w:numId w:val="7434032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die Eröffnung des Konkurses über das Vermögen der
Gesellschaft oder durch die rechtskräftige Nichteröffnung oder
Aufhebung des Insolvenzverfahrens mangels kostendeckenden
Vermögens;</w:t>
      </w:r>
    </w:p>
    <w:p>
      <w:pPr>
        <w:numPr>
          <w:ilvl w:val="0"/>
          <w:numId w:val="7434032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Tod des Komplementärs;</w:t>
      </w:r>
    </w:p>
    <w:p>
      <w:pPr>
        <w:numPr>
          <w:ilvl w:val="0"/>
          <w:numId w:val="7434032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die Eröffnung des Konkurses über das Vermögen eines
Gesellschafters oder durch die rechtskräftige Nichteröffnung oder
Aufhebung des Insolvenzverfahrens mangels kostendeckenden
Vermögens;</w:t>
      </w:r>
    </w:p>
    <w:p>
      <w:pPr>
        <w:numPr>
          <w:ilvl w:val="0"/>
          <w:numId w:val="7434032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Kündigung (Punkt XXVI.);</w:t>
      </w:r>
    </w:p>
    <w:p>
      <w:pPr>
        <w:numPr>
          <w:ilvl w:val="0"/>
          <w:numId w:val="7434032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gerichtliche Entscheidung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XXVI. Auflösung durch ordentliche Kündigung seitens eines
Gesellschafters</w:t>
      </w:r>
    </w:p>
    <w:p>
      <w:pPr>
        <w:widowControl w:val="on"/>
        <w:pBdr/>
        <w:spacing w:before="140" w:after="240" w:line="288" w:lineRule="auto"/>
        <w:ind w:left="0" w:right="0"/>
        <w:jc w:val="left"/>
      </w:pPr>
      <w:r>
        <w:rPr>
          <w:rFonts w:ascii="Arial" w:hAnsi="Arial" w:eastAsia="Arial" w:cs="Arial"/>
          <w:color w:val="000000"/>
          <w:sz w:val="20"/>
          <w:szCs w:val="20"/>
        </w:rPr>
        <w:t xml:space="preserve">Jeder Gesellschafter hat das Recht, die Gesellschaft</w:t>
      </w:r>
    </w:p>
    <w:p>
      <w:pPr>
        <w:numPr>
          <w:ilvl w:val="0"/>
          <w:numId w:val="1952620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 Einhaltung einer sechsmonatigen Frist</w:t>
      </w:r>
    </w:p>
    <w:p>
      <w:pPr>
        <w:numPr>
          <w:ilvl w:val="0"/>
          <w:numId w:val="1952620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jeweils zum Ende eines Geschäftsjahres zu kündigen,</w:t>
      </w:r>
    </w:p>
    <w:p>
      <w:pPr>
        <w:widowControl w:val="on"/>
        <w:pBdr/>
        <w:spacing w:before="140" w:after="240" w:line="288" w:lineRule="auto"/>
        <w:ind w:left="0" w:right="0"/>
        <w:jc w:val="left"/>
      </w:pPr>
      <w:r>
        <w:rPr>
          <w:rFonts w:ascii="Arial" w:hAnsi="Arial" w:eastAsia="Arial" w:cs="Arial"/>
          <w:color w:val="000000"/>
          <w:sz w:val="20"/>
          <w:szCs w:val="20"/>
        </w:rPr>
        <w:t xml:space="preserve">dies mit der Wirkung, dass die Gesellschaft zum Kündigungstermin
aufgelöst wird.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XXVII. Auflösung durch gerichtliche Entscheidung</w:t>
      </w:r>
    </w:p>
    <w:p>
      <w:pPr>
        <w:widowControl w:val="on"/>
        <w:pBdr/>
        <w:spacing w:before="140" w:after="240" w:line="288" w:lineRule="auto"/>
        <w:ind w:left="0" w:right="0"/>
        <w:jc w:val="left"/>
      </w:pPr>
      <w:r>
        <w:rPr>
          <w:rFonts w:ascii="Arial" w:hAnsi="Arial" w:eastAsia="Arial" w:cs="Arial"/>
          <w:color w:val="000000"/>
          <w:sz w:val="20"/>
          <w:szCs w:val="20"/>
        </w:rPr>
        <w:t xml:space="preserve">Jeder Gesellschafter ist berechtigt, die Auflösung der
Gesellschaft durch gerichtliche Entscheidung zu verlangen, wenn ein
wichtiger Grund vorliegt, insbesondere wenn</w:t>
      </w:r>
    </w:p>
    <w:p>
      <w:pPr>
        <w:numPr>
          <w:ilvl w:val="0"/>
          <w:numId w:val="38721309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anderer Gesellschafter eine ihm nach dem
Gesellschaftsvertrag obliegende wesentliche Verpflichtung
vorsätzlich oder grob fahrlässig verletzt oder</w:t>
      </w:r>
    </w:p>
    <w:p>
      <w:pPr>
        <w:numPr>
          <w:ilvl w:val="0"/>
          <w:numId w:val="38721309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Erfüllung einer solchen Verpflichtung eines anderen
Gesellschafters unmöglich wird.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XXVIII. Liquidation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Ist die Gesellschaft aufgelöst worden, so findet – sofern nicht
über das Vermögen der Gesellschaft der Konkurs eröffnet ist – die
Liquidation statt, in deren Zuge</w:t>
      </w:r>
    </w:p>
    <w:p>
      <w:pPr>
        <w:numPr>
          <w:ilvl w:val="0"/>
          <w:numId w:val="8331187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laufende Geschäfte beendet,</w:t>
      </w:r>
    </w:p>
    <w:p>
      <w:pPr>
        <w:numPr>
          <w:ilvl w:val="0"/>
          <w:numId w:val="8331187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Forderungen eingezogen,</w:t>
      </w:r>
    </w:p>
    <w:p>
      <w:pPr>
        <w:numPr>
          <w:ilvl w:val="0"/>
          <w:numId w:val="8331187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übrigen Vermögenswerte in Geld umgesetzt,</w:t>
      </w:r>
    </w:p>
    <w:p>
      <w:pPr>
        <w:numPr>
          <w:ilvl w:val="0"/>
          <w:numId w:val="8331187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Gläubiger befriedigt und</w:t>
      </w:r>
    </w:p>
    <w:p>
      <w:pPr>
        <w:numPr>
          <w:ilvl w:val="0"/>
          <w:numId w:val="8331187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verbleibenden Geldmittel unter die Gesellschafter
entsprechend dem Verhältnis der Beteiligung derselben an der
Gesellschaft (Punkt VIII.) sowie unter Berücksichtigung der
Guthaben und Verbindlichkeiten der Gesellschafter aus dem
Gesellschaftsverhältnis verteilt werden.</w:t>
      </w:r>
    </w:p>
    <w:p>
      <w:pPr>
        <w:widowControl w:val="on"/>
        <w:pBdr/>
        <w:spacing w:before="140" w:after="240" w:line="288" w:lineRule="auto"/>
        <w:ind w:left="0" w:right="0"/>
        <w:jc w:val="left"/>
      </w:pPr>
      <w:r>
        <w:rPr>
          <w:rFonts w:ascii="Arial" w:hAnsi="Arial" w:eastAsia="Arial" w:cs="Arial"/>
          <w:color w:val="000000"/>
          <w:sz w:val="20"/>
          <w:szCs w:val="20"/>
        </w:rPr>
        <w:t xml:space="preserve">Die Liquidation erfolgt durch sämtliche Gesellschafter als
Liquidatoren.</w:t>
      </w:r>
    </w:p>
    <w:p>
      <w:pPr>
        <w:widowControl w:val="on"/>
        <w:pBdr/>
        <w:spacing w:before="140" w:after="240" w:line="288" w:lineRule="auto"/>
        <w:ind w:left="0" w:right="0"/>
        <w:jc w:val="left"/>
      </w:pPr>
      <w:r>
        <w:rPr>
          <w:rFonts w:ascii="Arial" w:hAnsi="Arial" w:eastAsia="Arial" w:cs="Arial"/>
          <w:color w:val="000000"/>
          <w:sz w:val="20"/>
          <w:szCs w:val="20"/>
        </w:rPr>
        <w:t xml:space="preserve">Wenn</w:t>
      </w:r>
    </w:p>
    <w:p>
      <w:pPr>
        <w:numPr>
          <w:ilvl w:val="0"/>
          <w:numId w:val="88966513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zumindest ein Gesellschafter aus dem Gesellschaftsverhältnis
ein Guthaben aufweist,</w:t>
      </w:r>
    </w:p>
    <w:p>
      <w:pPr>
        <w:numPr>
          <w:ilvl w:val="0"/>
          <w:numId w:val="88966513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zumindest ein Gesellschafter aus dem Gesellschaftsverhältnis
eine Verbindlichkeit aufweist und</w:t>
      </w:r>
    </w:p>
    <w:p>
      <w:pPr>
        <w:numPr>
          <w:ilvl w:val="0"/>
          <w:numId w:val="88966513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Gesellschaftsvermögen nicht dazu ausreicht, das eingangs
bezeichnete Guthaben (die eingangs bezeichneten Guthaben) zu
decken,</w:t>
      </w:r>
    </w:p>
    <w:p>
      <w:pPr>
        <w:widowControl w:val="on"/>
        <w:pBdr/>
        <w:spacing w:before="140" w:after="240" w:line="288" w:lineRule="auto"/>
        <w:ind w:left="0" w:right="0"/>
        <w:jc w:val="left"/>
      </w:pPr>
      <w:r>
        <w:rPr>
          <w:rFonts w:ascii="Arial" w:hAnsi="Arial" w:eastAsia="Arial" w:cs="Arial"/>
          <w:color w:val="000000"/>
          <w:sz w:val="20"/>
          <w:szCs w:val="20"/>
        </w:rPr>
        <w:t xml:space="preserve">dann ist jener Gesellschafter (sind jene Gesellschafter), den
(die) eine Verbindlichkeit trifft, verpflichtet, für den Fehlbetrag
nach seiner Verbindlichkeit (im Verhältnis ihrer Verbindlichkeiten)
aufzukommen; soweit ein Kommanditist die bedungene Einlage (Punkt
VIII.) geleistet hat, ist er zum Ersatz von Fehlbeträgen nicht
verpflichtet.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XXIX. Allgemeine Bestimmungen</w:t>
      </w:r>
    </w:p>
    <w:p>
      <w:pPr>
        <w:widowControl w:val="on"/>
        <w:pBdr/>
        <w:spacing w:before="140" w:after="240" w:line="288" w:lineRule="auto"/>
        <w:ind w:left="0" w:right="0"/>
        <w:jc w:val="left"/>
      </w:pPr>
      <w:r>
        <w:rPr>
          <w:rFonts w:ascii="Arial" w:hAnsi="Arial" w:eastAsia="Arial" w:cs="Arial"/>
          <w:color w:val="000000"/>
          <w:sz w:val="20"/>
          <w:szCs w:val="20"/>
        </w:rPr>
        <w:t xml:space="preserve">Die mit der Errichtung dieses Vertrages und der Eintragung der
Gesellschaft verbundenen Kosten und Abgaben trägt die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Unwirksamkeit einer oder einzelner Vertragsbestimmungen hat
nicht die Unwirksamkeit des gesamten Vertrages oder des
betreffenden Vertragspunktes zur Folge. Anstelle der unwirksamen
Bestimmungen hat eine dem Willen der Vertragsteile möglichst nahe
kommende Bestimmung und, falls diese nicht ermittelt werden kann,
die gesetzliche Regelung zu gelten.</w:t>
      </w:r>
    </w:p>
    <w:p>
      <w:pPr>
        <w:widowControl w:val="on"/>
        <w:pBdr/>
        <w:spacing w:before="140" w:after="240" w:line="288" w:lineRule="auto"/>
        <w:ind w:left="0" w:right="0"/>
        <w:jc w:val="left"/>
      </w:pPr>
      <w:r>
        <w:rPr>
          <w:rFonts w:ascii="Arial" w:hAnsi="Arial" w:eastAsia="Arial" w:cs="Arial"/>
          <w:color w:val="000000"/>
          <w:sz w:val="20"/>
          <w:szCs w:val="20"/>
        </w:rPr>
        <w:t xml:space="preserve">Die Bestimmungen des Vertrages sind so auszulegen und
handzuhaben, dass der Bestand des Unternehmens möglichst gewahrt
bleibt. Besteht zwischen den derzeitigen Gesellschaftern und
Rechtsnachfolgern der heutigen Gesellschafter eine
Meinungsverschiedenheit über den Sinn einzelner Vertragspunkte, so
hat die Ansicht der Altgesellschafter, sofern sie einhellig ist,
als dem Vertragswillen entsprechend zu gelten.</w:t>
      </w:r>
    </w:p>
    <w:p>
      <w:pPr>
        <w:widowControl w:val="on"/>
        <w:pBdr/>
        <w:spacing w:before="140" w:after="240" w:line="288" w:lineRule="auto"/>
        <w:ind w:left="0" w:right="0"/>
        <w:jc w:val="left"/>
      </w:pPr>
      <w:r>
        <w:rPr>
          <w:rFonts w:ascii="Arial" w:hAnsi="Arial" w:eastAsia="Arial" w:cs="Arial"/>
          <w:color w:val="000000"/>
          <w:sz w:val="20"/>
          <w:szCs w:val="20"/>
        </w:rPr>
        <w:t xml:space="preserve">Diesen Vertrag ergänzende oder abändernde mündliche
Vereinbarungen oder Nebenabreden bestehen nicht. Änderungen oder
Ergänzungen dieses Vertrages bedürfen zu ihrer Wirksamkeit der
Einhaltung der Schriftform.</w:t>
      </w:r>
    </w:p>
    <w:p>
      <w:pPr>
        <w:widowControl w:val="on"/>
        <w:pBdr/>
        <w:spacing w:before="140" w:after="240" w:line="288" w:lineRule="auto"/>
        <w:ind w:left="0" w:right="0"/>
        <w:jc w:val="left"/>
      </w:pPr>
      <w:r>
        <w:rPr>
          <w:rFonts w:ascii="Arial" w:hAnsi="Arial" w:eastAsia="Arial" w:cs="Arial"/>
          <w:color w:val="000000"/>
          <w:sz w:val="20"/>
          <w:szCs w:val="20"/>
        </w:rPr>
        <w:t xml:space="preserve">…[Datum], am … [Datum]</w:t>
      </w:r>
    </w:p>
    <w:p>
      <w:pPr>
        <w:widowControl w:val="on"/>
        <w:pBdr/>
        <w:spacing w:before="140" w:after="240" w:line="288" w:lineRule="auto"/>
        <w:ind w:left="0" w:right="0"/>
        <w:jc w:val="left"/>
      </w:pPr>
      <w:r>
        <w:rPr>
          <w:rFonts w:ascii="Arial" w:hAnsi="Arial" w:eastAsia="Arial" w:cs="Arial"/>
          <w:color w:val="000000"/>
          <w:sz w:val="20"/>
          <w:szCs w:val="20"/>
        </w:rPr>
        <w:t xml:space="preserve">… [Unterschrift]</w:t>
      </w:r>
      <w:r>
        <w:rPr>
          <w:rFonts w:ascii="Arial" w:hAnsi="Arial" w:eastAsia="Arial" w:cs="Arial"/>
          <w:color w:val="000000"/>
          <w:sz w:val="20"/>
          <w:szCs w:val="20"/>
        </w:rPr>
        <w:br/>
        <w:t xml:space="preserve">Alfred Anis</w:t>
      </w:r>
    </w:p>
    <w:p>
      <w:pPr>
        <w:widowControl w:val="on"/>
        <w:pBdr/>
        <w:spacing w:before="140" w:after="240" w:line="288" w:lineRule="auto"/>
        <w:ind w:left="0" w:right="0"/>
        <w:jc w:val="left"/>
      </w:pPr>
      <w:r>
        <w:rPr>
          <w:rFonts w:ascii="Arial" w:hAnsi="Arial" w:eastAsia="Arial" w:cs="Arial"/>
          <w:color w:val="000000"/>
          <w:sz w:val="20"/>
          <w:szCs w:val="20"/>
        </w:rPr>
        <w:t xml:space="preserve">… [Unterschrift]</w:t>
      </w:r>
      <w:r>
        <w:rPr>
          <w:rFonts w:ascii="Arial" w:hAnsi="Arial" w:eastAsia="Arial" w:cs="Arial"/>
          <w:color w:val="000000"/>
          <w:sz w:val="20"/>
          <w:szCs w:val="20"/>
        </w:rPr>
        <w:br/>
        <w:t xml:space="preserve">Sigfried Süßer</w:t>
      </w:r>
    </w:p>
    <w:p>
      <w:pPr>
        <w:widowControl w:val="on"/>
        <w:pBdr/>
        <w:spacing w:before="140" w:after="240" w:line="288" w:lineRule="auto"/>
        <w:ind w:left="0" w:right="0"/>
        <w:jc w:val="left"/>
      </w:pPr>
      <w:r>
        <w:rPr>
          <w:rFonts w:ascii="Arial" w:hAnsi="Arial" w:eastAsia="Arial" w:cs="Arial"/>
          <w:color w:val="000000"/>
          <w:sz w:val="20"/>
          <w:szCs w:val="20"/>
        </w:rPr>
        <w:t xml:space="preserve">… [Unterschrift]</w:t>
      </w:r>
      <w:r>
        <w:rPr>
          <w:rFonts w:ascii="Arial" w:hAnsi="Arial" w:eastAsia="Arial" w:cs="Arial"/>
          <w:color w:val="000000"/>
          <w:sz w:val="20"/>
          <w:szCs w:val="20"/>
        </w:rPr>
        <w:br/>
        <w:t xml:space="preserve">Harald Haube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Zur Ausgangssituation</w:t>
      </w:r>
    </w:p>
    <w:p>
      <w:pPr>
        <w:widowControl w:val="on"/>
        <w:pBdr/>
        <w:spacing w:before="140" w:after="240" w:line="288" w:lineRule="auto"/>
        <w:ind w:left="0" w:right="0"/>
        <w:jc w:val="left"/>
      </w:pPr>
      <w:r>
        <w:rPr>
          <w:rFonts w:ascii="Arial" w:hAnsi="Arial" w:eastAsia="Arial" w:cs="Arial"/>
          <w:color w:val="000000"/>
          <w:sz w:val="20"/>
          <w:szCs w:val="20"/>
        </w:rPr>
        <w:t xml:space="preserve">Herr Alfred Anis ist Gastronom und Inhaber einer
Gewerbeberechtigung für das reglementierte Gewerbe „Gastgewerbe“
gem § 94 Z 28 der Gewerbeordnung; er betreibt als
nicht protokollierter Einzelunternehmer die Gastwirtschaft „Zum
goldenen Kochlöffel“.</w:t>
      </w:r>
    </w:p>
    <w:p>
      <w:pPr>
        <w:widowControl w:val="on"/>
        <w:pBdr/>
        <w:spacing w:before="140" w:after="240" w:line="288" w:lineRule="auto"/>
        <w:ind w:left="0" w:right="0"/>
        <w:jc w:val="left"/>
      </w:pPr>
      <w:r>
        <w:rPr>
          <w:rFonts w:ascii="Arial" w:hAnsi="Arial" w:eastAsia="Arial" w:cs="Arial"/>
          <w:color w:val="000000"/>
          <w:sz w:val="20"/>
          <w:szCs w:val="20"/>
        </w:rPr>
        <w:t xml:space="preserve">Herrn Anis wird vom Hauseigentümer die Möglichkeit geboten, auch
das der Gastwirtschaft benachbarte Lokal anzumieten. Herr Anis
könnte sich vorstellen, in einem großen verbundenen Lokal eine
Gastwirtschaft und eine Konditorei zu betreiben; dafür fehlen ihm
allerdings vier Dinge:</w:t>
      </w:r>
    </w:p>
    <w:p>
      <w:pPr>
        <w:numPr>
          <w:ilvl w:val="0"/>
          <w:numId w:val="9626527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Gewerbeberechtigung als Konditor,</w:t>
      </w:r>
    </w:p>
    <w:p>
      <w:pPr>
        <w:numPr>
          <w:ilvl w:val="0"/>
          <w:numId w:val="9626527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Konditoreiausstattung,</w:t>
      </w:r>
    </w:p>
    <w:p>
      <w:pPr>
        <w:numPr>
          <w:ilvl w:val="0"/>
          <w:numId w:val="9626527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Geld und</w:t>
      </w:r>
    </w:p>
    <w:p>
      <w:pPr>
        <w:numPr>
          <w:ilvl w:val="0"/>
          <w:numId w:val="9626527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tüchtiger Restaurantmanager.</w:t>
      </w:r>
    </w:p>
    <w:p>
      <w:pPr>
        <w:widowControl w:val="on"/>
        <w:pBdr/>
        <w:spacing w:before="140" w:after="240" w:line="288" w:lineRule="auto"/>
        <w:ind w:left="0" w:right="0"/>
        <w:jc w:val="left"/>
      </w:pPr>
      <w:r>
        <w:rPr>
          <w:rFonts w:ascii="Arial" w:hAnsi="Arial" w:eastAsia="Arial" w:cs="Arial"/>
          <w:color w:val="000000"/>
          <w:sz w:val="20"/>
          <w:szCs w:val="20"/>
        </w:rPr>
        <w:t xml:space="preserve">Herr Sigfried Süßer ist Konditormeister und hat bis vor kurzem
seine eigene Konditorei betrieben; da er von seinem Onkel mehrere
Mietshäuser geerbt hat, von deren Erträgen er nicht allzu schlecht
leben kann, hat er seinen Betrieb geschlossen; die
Konditorei-Ausstattung „gammelt“ vor sich hin und Herr Süßer, der
an sich immer gerne als Konditor tätig war, will sich zwar nicht
unbedingt wieder eine Einzelunternehmer-Tätigkeit antun, ist als
reiner Privatier aber auch nicht wirklich glücklich.</w:t>
      </w:r>
    </w:p>
    <w:p>
      <w:pPr>
        <w:widowControl w:val="on"/>
        <w:pBdr/>
        <w:spacing w:before="140" w:after="240" w:line="288" w:lineRule="auto"/>
        <w:ind w:left="0" w:right="0"/>
        <w:jc w:val="left"/>
      </w:pPr>
      <w:r>
        <w:rPr>
          <w:rFonts w:ascii="Arial" w:hAnsi="Arial" w:eastAsia="Arial" w:cs="Arial"/>
          <w:color w:val="000000"/>
          <w:sz w:val="20"/>
          <w:szCs w:val="20"/>
        </w:rPr>
        <w:t xml:space="preserve">Herr Harald Haube hat mit Erfolg die Hotelfachschule besucht und
sich einige Zeit als angestellter Restaurantmanager betätigt; er
hat EUR 20.000,– gespart und möchte in „seinem eigenen“
Restaurant arbeiten; allerdings sind EUR 20.000,– für einen
sinnvollen Restaurant-Start als Einzelunternehmer nicht wirklich
hinreichend.</w:t>
      </w:r>
    </w:p>
    <w:p>
      <w:pPr>
        <w:widowControl w:val="on"/>
        <w:pBdr/>
        <w:spacing w:before="140" w:after="240" w:line="288" w:lineRule="auto"/>
        <w:ind w:left="0" w:right="0"/>
        <w:jc w:val="left"/>
      </w:pPr>
      <w:r>
        <w:rPr>
          <w:rFonts w:ascii="Arial" w:hAnsi="Arial" w:eastAsia="Arial" w:cs="Arial"/>
          <w:color w:val="000000"/>
          <w:sz w:val="20"/>
          <w:szCs w:val="20"/>
        </w:rPr>
        <w:t xml:space="preserve">Die drei Herren lernen einander kennen und beschließen, ihre
Wünsche gemeinsam zu realisieren, und zwar durch die Gründung einer
Personengesellschaft. Da nur Alfred Anis ein risikofreudiger
Unternehmertyp ist und die beiden anderen zwar vorhandenes Kapital
einsetzen, aber nicht für etwaige Gesellschaftsschulden
unbeschränkt haften wollen, wählt man die Rechtsform der
Kommanditgesellschaft, wobei Alfred Anis die Rolle des
Komplementärs übernehmen soll, während Sigfried Süßer und Harald
Haube als Kommanditisten fungieren sollen.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I. des Vertragsmusters
(Präambel/Vertragsparteien)</w:t>
      </w:r>
    </w:p>
    <w:p>
      <w:pPr>
        <w:widowControl w:val="on"/>
        <w:pBdr/>
        <w:spacing w:before="140" w:after="240" w:line="288" w:lineRule="auto"/>
        <w:ind w:left="0" w:right="0"/>
        <w:jc w:val="left"/>
      </w:pPr>
      <w:r>
        <w:rPr>
          <w:rFonts w:ascii="Arial" w:hAnsi="Arial" w:eastAsia="Arial" w:cs="Arial"/>
          <w:color w:val="000000"/>
          <w:sz w:val="20"/>
          <w:szCs w:val="20"/>
        </w:rPr>
        <w:t xml:space="preserve">Die Präambel hat insbesondere die Funktion,</w:t>
      </w:r>
    </w:p>
    <w:p>
      <w:pPr>
        <w:numPr>
          <w:ilvl w:val="0"/>
          <w:numId w:val="992883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vertragswesentlichen Eigenschaften der Parteien darzulegen
(dies unter anderem auch als Basis für mögliche künftige Haftungen)
und</w:t>
      </w:r>
    </w:p>
    <w:p>
      <w:pPr>
        <w:numPr>
          <w:ilvl w:val="0"/>
          <w:numId w:val="992883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Zielsetzungen, die von den Parteien mit dem Vertrag
verbunden werden, aufzuzeigen, dies insbesondere als Hilfsmittel
für die Interpretation des Vertrages.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II. des Vertragsmusters (Errichtung der
Gesellschaft/Firma)</w:t>
      </w:r>
    </w:p>
    <w:p>
      <w:pPr>
        <w:widowControl w:val="on"/>
        <w:pBdr/>
        <w:spacing w:before="140" w:after="240" w:line="288" w:lineRule="auto"/>
        <w:ind w:left="0" w:right="0"/>
        <w:jc w:val="left"/>
      </w:pPr>
      <w:r>
        <w:rPr>
          <w:rFonts w:ascii="Arial" w:hAnsi="Arial" w:eastAsia="Arial" w:cs="Arial"/>
          <w:color w:val="000000"/>
          <w:sz w:val="20"/>
          <w:szCs w:val="20"/>
        </w:rPr>
        <w:t xml:space="preserve">Da gem § 20 UGB in der Firma einer
Personengesellschaft der Name einer anderen Person als eines
unbeschränkt haftenden Gesellschafters nicht vorkommen darf, findet
sich in der Firma der hiergegenständlichen Kommanditgesellschaft
nur der Name des Komplementärs Alfred Anis.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III. des Vertragsmusters (Sitz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hiergegenständliche Kommanditgesellschaft soll ihren Sitz in
dem Lokal haben, zu dessen Betrieb sie errichtet wird.</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IV. des Vertragsmusters (Gegenstand des
Unternehmens)</w:t>
      </w:r>
    </w:p>
    <w:p>
      <w:pPr>
        <w:widowControl w:val="on"/>
        <w:pBdr/>
        <w:spacing w:before="140" w:after="240" w:line="288" w:lineRule="auto"/>
        <w:ind w:left="0" w:right="0"/>
        <w:jc w:val="left"/>
      </w:pPr>
      <w:r>
        <w:rPr>
          <w:rFonts w:ascii="Arial" w:hAnsi="Arial" w:eastAsia="Arial" w:cs="Arial"/>
          <w:color w:val="000000"/>
          <w:sz w:val="20"/>
          <w:szCs w:val="20"/>
        </w:rPr>
        <w:t xml:space="preserve">Der Unternehmensgegenstand der Gesellschaft wird unter
Bezugnahme auf die vom Umfang der zu betreibenden Gewerbe erfassten
Tätigkeiten definiert.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VIII. des Vertragsmusters
(Einlagen/Kapitalanteile)</w:t>
      </w:r>
    </w:p>
    <w:p>
      <w:pPr>
        <w:widowControl w:val="on"/>
        <w:pBdr/>
        <w:spacing w:before="140" w:after="240" w:line="288" w:lineRule="auto"/>
        <w:ind w:left="0" w:right="0"/>
        <w:jc w:val="left"/>
      </w:pPr>
      <w:r>
        <w:rPr>
          <w:rFonts w:ascii="Arial" w:hAnsi="Arial" w:eastAsia="Arial" w:cs="Arial"/>
          <w:color w:val="000000"/>
          <w:sz w:val="20"/>
          <w:szCs w:val="20"/>
        </w:rPr>
        <w:t xml:space="preserve">Als Einlagen kommen grundsätzlich</w:t>
      </w:r>
    </w:p>
    <w:p>
      <w:pPr>
        <w:numPr>
          <w:ilvl w:val="0"/>
          <w:numId w:val="98194588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Bareinlagen (auch in Gestalt der Aufrechnung mit einer
Geldforderung des betreffenden Gesellschafters gegen eine
Geldforderung der Gesellschaft) und</w:t>
      </w:r>
    </w:p>
    <w:p>
      <w:pPr>
        <w:numPr>
          <w:ilvl w:val="0"/>
          <w:numId w:val="98194588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Sacheinlagen</w:t>
      </w:r>
    </w:p>
    <w:p>
      <w:pPr>
        <w:widowControl w:val="on"/>
        <w:pBdr/>
        <w:spacing w:before="140" w:after="240" w:line="288" w:lineRule="auto"/>
        <w:ind w:left="0" w:right="0"/>
        <w:jc w:val="left"/>
      </w:pPr>
      <w:r>
        <w:rPr>
          <w:rFonts w:ascii="Arial" w:hAnsi="Arial" w:eastAsia="Arial" w:cs="Arial"/>
          <w:color w:val="000000"/>
          <w:sz w:val="20"/>
          <w:szCs w:val="20"/>
        </w:rPr>
        <w:t xml:space="preserve">in Betracht.</w:t>
      </w:r>
    </w:p>
    <w:p>
      <w:pPr>
        <w:widowControl w:val="on"/>
        <w:pBdr/>
        <w:spacing w:before="140" w:after="240" w:line="288" w:lineRule="auto"/>
        <w:ind w:left="0" w:right="0"/>
        <w:jc w:val="left"/>
      </w:pPr>
      <w:r>
        <w:rPr>
          <w:rFonts w:ascii="Arial" w:hAnsi="Arial" w:eastAsia="Arial" w:cs="Arial"/>
          <w:color w:val="000000"/>
          <w:sz w:val="20"/>
          <w:szCs w:val="20"/>
        </w:rPr>
        <w:t xml:space="preserve">Sacheinlagen können Vermögenswerte – körperliche wie auch
nicht-körperliche Sachen jeglicher Art – sein, wie zB Grundstücke,
Maschinen, Waren, Patent- bzw Lizenzrechte, Markenrechte, ein
Betrieb oder auch ein komplettes lebendes Unternehmen.</w:t>
      </w:r>
    </w:p>
    <w:p>
      <w:pPr>
        <w:widowControl w:val="on"/>
        <w:pBdr/>
        <w:spacing w:before="140" w:after="240" w:line="288" w:lineRule="auto"/>
        <w:ind w:left="0" w:right="0"/>
        <w:jc w:val="left"/>
      </w:pPr>
      <w:r>
        <w:rPr>
          <w:rFonts w:ascii="Arial" w:hAnsi="Arial" w:eastAsia="Arial" w:cs="Arial"/>
          <w:color w:val="000000"/>
          <w:sz w:val="20"/>
          <w:szCs w:val="20"/>
        </w:rPr>
        <w:t xml:space="preserve">Eine Sonderregelung bezüglich der Frage von Dienstleistungen der
Gesellschafter als Einlagen enthält § 109 Abs 2 UGB;
danach kann die Einlage eines Gesellschafters auch in der Leistung
von Diensten bestehen. Ist ein Gesellschafter zur Leistung von
Diensten verpflichtet, so ist im Zweifel aber nicht anzunehmen,
dass ihm dafür eine Beteiligung an der Gesellschaft gewährt wird;
er hat dann nur einen Anspruch auf den Gewinn.</w:t>
      </w:r>
    </w:p>
    <w:p>
      <w:pPr>
        <w:widowControl w:val="on"/>
        <w:pBdr/>
        <w:spacing w:before="140" w:after="240" w:line="288" w:lineRule="auto"/>
        <w:ind w:left="0" w:right="0"/>
        <w:jc w:val="left"/>
      </w:pPr>
      <w:r>
        <w:rPr>
          <w:rFonts w:ascii="Arial" w:hAnsi="Arial" w:eastAsia="Arial" w:cs="Arial"/>
          <w:color w:val="000000"/>
          <w:sz w:val="20"/>
          <w:szCs w:val="20"/>
        </w:rPr>
        <w:t xml:space="preserve">Demnach kann – anders als bei einer Kapitalgesellschaft – bei
einer Kommanditgesellschaft auch eine Dienstleistung als Einlage
des betreffenden Gesellschafters vereinbart werden; im Gegensatz zu
sonstigen Sacheinlagen kommt es allerdings im Fall der
Dienstleistung nicht automatisch zu einer Einbeziehung der Einlage
in die Bestimmung des Beteiligungsverhältnisses, sondern der bloße
„Arbeitsgesellschafter hat grundsätzlich nur Anspruch auf einen
Anteil am Gewinn, nicht aber Anspruch auf ein
Auseinandersetzungsguthaben oder einen Anteil am Liquidationserlös
(er wird also – wirtschaftlich gesehen – wie ein Angestellter
behandelt, der eine Dienstleistung erbringt und dafür ein „Gehalt“
in Gestalt einer Gewinnbeteiligung erhält); vertragstechnisch ist
wichtig, dass dann, wenn der Arbeitsgesellschafter auch
vermögensmäßig an der Gesellschaft beteiligt sein soll, dieser im
Vertrag festgelegt werden muss.</w:t>
      </w:r>
    </w:p>
    <w:p>
      <w:pPr>
        <w:widowControl w:val="on"/>
        <w:pBdr/>
        <w:spacing w:before="140" w:after="240" w:line="288" w:lineRule="auto"/>
        <w:ind w:left="0" w:right="0"/>
        <w:jc w:val="left"/>
      </w:pPr>
      <w:r>
        <w:rPr>
          <w:rFonts w:ascii="Arial" w:hAnsi="Arial" w:eastAsia="Arial" w:cs="Arial"/>
          <w:color w:val="000000"/>
          <w:sz w:val="20"/>
          <w:szCs w:val="20"/>
        </w:rPr>
        <w:t xml:space="preserve">Die Leistung der Einlagen erfolgt durch Übertragung der
betreffenden Einlagengegenstände in die Rechtszuständigkeit der
Gesellschaft; dafür bestehen drei Möglichkeiten:</w:t>
      </w:r>
    </w:p>
    <w:p>
      <w:pPr>
        <w:numPr>
          <w:ilvl w:val="0"/>
          <w:numId w:val="99140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Einbringung quoad dominium:</w:t>
      </w:r>
      <w:r>
        <w:rPr>
          <w:rFonts w:ascii="Arial" w:hAnsi="Arial" w:eastAsia="Arial" w:cs="Arial"/>
          <w:color w:val="000000"/>
          <w:sz w:val="20"/>
          <w:szCs w:val="20"/>
        </w:rPr>
        <w:br/>
        <w:t xml:space="preserve">Die eingebrachte Sache geht in das Eigentum der Gesellschaft über;
der einbringende Gesellschafter verliert sein Eigentum zur Gänze
(selbständiges Eigentumsrecht der Gesellschaft am
Gesellschaftsvermögen, kein Miteigentum der Gesellschafter!).</w:t>
      </w:r>
    </w:p>
    <w:p>
      <w:pPr>
        <w:numPr>
          <w:ilvl w:val="0"/>
          <w:numId w:val="99140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Einbringung quoad usum:</w:t>
      </w:r>
      <w:r>
        <w:rPr>
          <w:rFonts w:ascii="Arial" w:hAnsi="Arial" w:eastAsia="Arial" w:cs="Arial"/>
          <w:color w:val="000000"/>
          <w:sz w:val="20"/>
          <w:szCs w:val="20"/>
        </w:rPr>
        <w:br/>
        <w:t xml:space="preserve">Der Gesellschafter überlässt die Sache der Gesellschaft lediglich
zur Nutzung (die Einlage besteht also nicht in dem Gegenstand
selbst, sondern nur in dem Recht, diesen zu nutzen, ähnlich wie bei
einem Mietvertrag); das Eigentumsrecht des Gesellschafters an der
Sache bleibt erhalten, im Falle des Ausscheidens des
Gesellschafters aus der Gesellschaft ist die Sache dem
Gesellschafter zurückzugeben (§ 137 Abs 1 UGB).</w:t>
      </w:r>
    </w:p>
    <w:p>
      <w:pPr>
        <w:numPr>
          <w:ilvl w:val="0"/>
          <w:numId w:val="99140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Einbringung quoad sortem:</w:t>
      </w:r>
      <w:r>
        <w:rPr>
          <w:rFonts w:ascii="Arial" w:hAnsi="Arial" w:eastAsia="Arial" w:cs="Arial"/>
          <w:color w:val="000000"/>
          <w:sz w:val="20"/>
          <w:szCs w:val="20"/>
        </w:rPr>
        <w:br/>
        <w:t xml:space="preserve">Die eingebrachte Sache verbleibt im Eigentum des betreffenden
Gesellschafters; sie ist jedoch im Innenverhältnis der
Gesellschafter so zu behandeln, als stünde sie im Eigentum der
Gesellschaft. Diese Trennung von sachenrechtlicher und
schuldrechtlicher Zuordnung hat zur Folge, dass
</w:t>
      </w:r>
    </w:p>
    <w:p>
      <w:pPr>
        <w:numPr>
          <w:ilvl w:val="1"/>
          <w:numId w:val="99140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Außenverhältnis der einbringende Gesellschafter als
Eigentümer dispositionsbefähigt bleibt, also zB die Sache an Dritte
verkaufen oder verpfänden kann,</w:t>
      </w:r>
    </w:p>
    <w:p>
      <w:pPr>
        <w:numPr>
          <w:ilvl w:val="1"/>
          <w:numId w:val="99140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Innenverhältnis dagegen nur die geschäftsführenden
Gesellschafter entscheidungsbefugt sind; sie könnten also dem
einbringenden Gesellschafter zB die Verpfändung der eingebrachten
Sache untersagen (was allerdings gegenüber dem gutgläubigen
Pfandnehmer irrelevant wäre).</w:t>
      </w:r>
    </w:p>
    <w:p>
      <w:pPr>
        <w:widowControl w:val="on"/>
        <w:pBdr/>
        <w:spacing w:before="140" w:after="240" w:line="288" w:lineRule="auto"/>
        <w:ind w:left="0" w:right="0"/>
        <w:jc w:val="left"/>
      </w:pPr>
      <w:r>
        <w:rPr>
          <w:rFonts w:ascii="Arial" w:hAnsi="Arial" w:eastAsia="Arial" w:cs="Arial"/>
          <w:color w:val="000000"/>
          <w:sz w:val="20"/>
          <w:szCs w:val="20"/>
        </w:rPr>
        <w:t xml:space="preserve">Die in § 109 Abs 1 UGB vorgesehene Bestimmung des
Beteiligungsverhältnisses entsprechend dem Verhältnis des Wertes
der vereinbarten Einlagen setzt naturgemäß die Zuordnung von (Geld)
Werten zu den Einlagen voraus; dies wiederum macht es erforderlich,
dass Sacheinlagen im Gesellschaftsvertrag bewertet werden.</w:t>
      </w:r>
    </w:p>
    <w:p>
      <w:pPr>
        <w:widowControl w:val="on"/>
        <w:pBdr/>
        <w:spacing w:before="140" w:after="240" w:line="288" w:lineRule="auto"/>
        <w:ind w:left="0" w:right="0"/>
        <w:jc w:val="left"/>
      </w:pPr>
      <w:r>
        <w:rPr>
          <w:rFonts w:ascii="Arial" w:hAnsi="Arial" w:eastAsia="Arial" w:cs="Arial"/>
          <w:color w:val="000000"/>
          <w:sz w:val="20"/>
          <w:szCs w:val="20"/>
        </w:rPr>
        <w:t xml:space="preserve">Entsprechend den in Anmerkung 1 dargelegten Absichten der
Protagonisten erfolgt die Gestaltung der Einlagenregelung:</w:t>
      </w:r>
    </w:p>
    <w:p>
      <w:pPr>
        <w:widowControl w:val="on"/>
        <w:pBdr/>
        <w:spacing w:before="140" w:after="240" w:line="288" w:lineRule="auto"/>
        <w:ind w:left="0" w:right="0"/>
        <w:jc w:val="left"/>
      </w:pPr>
      <w:r>
        <w:rPr>
          <w:rFonts w:ascii="Arial" w:hAnsi="Arial" w:eastAsia="Arial" w:cs="Arial"/>
          <w:color w:val="000000"/>
          <w:sz w:val="20"/>
          <w:szCs w:val="20"/>
        </w:rPr>
        <w:t xml:space="preserve">Alfred Anis, der sein Unternehmen erweitern und im Rahmen der
Gesellschaft indirekt (als deren geschäftsführender Komplementär)
weiterführen möchte, bringt dieses Unternehmen als solches in die
Gesellschaft als Einlage ein (die Gesellschaft erwirbt das
gastgewerbliche Unternehmen).</w:t>
      </w:r>
    </w:p>
    <w:p>
      <w:pPr>
        <w:widowControl w:val="on"/>
        <w:pBdr/>
        <w:spacing w:before="140" w:after="240" w:line="288" w:lineRule="auto"/>
        <w:ind w:left="0" w:right="0"/>
        <w:jc w:val="left"/>
      </w:pPr>
      <w:r>
        <w:rPr>
          <w:rFonts w:ascii="Arial" w:hAnsi="Arial" w:eastAsia="Arial" w:cs="Arial"/>
          <w:color w:val="000000"/>
          <w:sz w:val="20"/>
          <w:szCs w:val="20"/>
        </w:rPr>
        <w:t xml:space="preserve">Hier müssen die Regelungen des Gesetzes (vgl die §§ 38 f
UGB) betreffend die Haftung des Erwerbers bei der Fortführung eines
Unternehmens beachtet werden:</w:t>
      </w:r>
    </w:p>
    <w:p>
      <w:pPr>
        <w:widowControl w:val="on"/>
        <w:pBdr/>
        <w:spacing w:before="140" w:after="240" w:line="288" w:lineRule="auto"/>
        <w:ind w:left="0" w:right="0"/>
        <w:jc w:val="left"/>
      </w:pPr>
      <w:r>
        <w:rPr>
          <w:rFonts w:ascii="Arial" w:hAnsi="Arial" w:eastAsia="Arial" w:cs="Arial"/>
          <w:color w:val="000000"/>
          <w:sz w:val="20"/>
          <w:szCs w:val="20"/>
        </w:rPr>
        <w:t xml:space="preserve">Wer ein unter Lebenden erworbenes Unternehmen fortführt, der
übernimmt, sofern nichts anderes vereinbart ist, zum Zeitpunkt des
Unternehmensübergangs die unternehmensbezogenen, nicht
höchstpersönlichen Rechtsverhältnisse des Veräußerers mit den bis
dahin entstandenen Rechten und Verbindlichkeiten. Für
unternehmensbezogene Verbindlichkeiten des Veräußerers bestellte
Sicherheiten bleiben für diese Verbindlichkeiten aufrecht. Der
Veräußerer haftet nach Maßgabe des § 39 UGB für die
unternehmensbezogenen Verbindlichkeiten fort.</w:t>
      </w:r>
    </w:p>
    <w:p>
      <w:pPr>
        <w:widowControl w:val="on"/>
        <w:pBdr/>
        <w:spacing w:before="140" w:after="240" w:line="288" w:lineRule="auto"/>
        <w:ind w:left="0" w:right="0"/>
        <w:jc w:val="left"/>
      </w:pPr>
      <w:r>
        <w:rPr>
          <w:rFonts w:ascii="Arial" w:hAnsi="Arial" w:eastAsia="Arial" w:cs="Arial"/>
          <w:color w:val="000000"/>
          <w:sz w:val="20"/>
          <w:szCs w:val="20"/>
        </w:rPr>
        <w:t xml:space="preserve">Der Dritte kann der Übernahme seines Vertragsverhältnisses
binnen dreier Monate nach Mitteilung davon sowohl gegenüber dem
Veräußerer als auch gegenüber dem Erwerber widersprechen; in der
Mitteilung ist er auf das Widerspruchsrecht hinzuweisen. Dies gilt
auch für den Besteller einer für unternehmensbezogene
Verbindlichkeiten des Veräußerers gewährten Sicherheit. Im Falle
eines wirksamen Widerspruchs besteht das Vertragsverhältnis mit dem
Veräußerer fort.</w:t>
      </w:r>
    </w:p>
    <w:p>
      <w:pPr>
        <w:widowControl w:val="on"/>
        <w:pBdr/>
        <w:spacing w:before="140" w:after="240" w:line="288" w:lineRule="auto"/>
        <w:ind w:left="0" w:right="0"/>
        <w:jc w:val="left"/>
      </w:pPr>
      <w:r>
        <w:rPr>
          <w:rFonts w:ascii="Arial" w:hAnsi="Arial" w:eastAsia="Arial" w:cs="Arial"/>
          <w:color w:val="000000"/>
          <w:sz w:val="20"/>
          <w:szCs w:val="20"/>
        </w:rPr>
        <w:t xml:space="preserve">Wurde dem Dritten nicht nachweislich mitgeteilt, ob das
Vertragsverhältnis vom Erwerber übernommen wurde, oder kann dieser
Übernahme noch widersprochen werden, so kann er sowohl gegenüber
dem Veräußerer als auch gegenüber dem Erwerber auf das
Vertragsverhältnis bezogene Erklärungen abgeben und seine
Verbindlichkeiten erfüllen. Dies gilt auch für den Besteller einer
für unternehmensbezogene Verbindlichkeiten des Veräußerers
gewährten Sicherheit.</w:t>
      </w:r>
    </w:p>
    <w:p>
      <w:pPr>
        <w:widowControl w:val="on"/>
        <w:pBdr/>
        <w:spacing w:before="140" w:after="240" w:line="288" w:lineRule="auto"/>
        <w:ind w:left="0" w:right="0"/>
        <w:jc w:val="left"/>
      </w:pPr>
      <w:r>
        <w:rPr>
          <w:rFonts w:ascii="Arial" w:hAnsi="Arial" w:eastAsia="Arial" w:cs="Arial"/>
          <w:color w:val="000000"/>
          <w:sz w:val="20"/>
          <w:szCs w:val="20"/>
        </w:rPr>
        <w:t xml:space="preserve">Werden unternehmensbezogene Rechtsverhältnisse des Veräußerers
vom Erwerber nicht übernommen, so haftet er dennoch für die damit
verbundenen Verbindlichkeiten. Dies gilt auch, wenn der Erwerber
nur einzelne Verbindlichkeiten des Veräußerers nicht übernimmt.
Eine davon abweichende Vereinbarung über die Haftung ist einem
Dritten gegenüber nur wirksam, wenn sie beim Unternehmensübergang
in das Firmenbuch eingetragen, auf verkehrsübliche Weise bekannt
gemacht oder dem Dritten vom Veräußerer oder vom Erwerber
mitgeteilt wurde.</w:t>
      </w:r>
    </w:p>
    <w:p>
      <w:pPr>
        <w:widowControl w:val="on"/>
        <w:pBdr/>
        <w:spacing w:before="140" w:after="240" w:line="288" w:lineRule="auto"/>
        <w:ind w:left="0" w:right="0"/>
        <w:jc w:val="left"/>
      </w:pPr>
      <w:r>
        <w:rPr>
          <w:rFonts w:ascii="Arial" w:hAnsi="Arial" w:eastAsia="Arial" w:cs="Arial"/>
          <w:color w:val="000000"/>
          <w:sz w:val="20"/>
          <w:szCs w:val="20"/>
        </w:rPr>
        <w:t xml:space="preserve">(Nicht als Erwerb eines Unternehmens iSd Abs 1 gilt die
Fortführung im Weg der Pacht, der Leihe, der Fruchtnießung, des
Rechtes des Gebrauchs und der Beendigung dieser Verträge. Auch in
diesen Fällen kann jedoch ein Dritter oder ein
Sicherheitenbesteller gegenüber dem neuen Unternehmer Erklärungen
in Bezug auf ein zum früheren Unternehmer bestehendes,
unternehmensbezogenes und nicht höchstpersönliches
Vertragsverhältnis abgeben und seine Verbindlichkeiten erfüllen,
solange ihm die Fortführung des Unternehmens im Weg der Pacht, der
Leihe, der Fruchtnießung, des Rechtes des Gebrauchs oder der
Beendigung dieser Verträge nicht bekannt ist.)</w:t>
      </w:r>
    </w:p>
    <w:p>
      <w:pPr>
        <w:widowControl w:val="on"/>
        <w:pBdr/>
        <w:spacing w:before="140" w:after="240" w:line="288" w:lineRule="auto"/>
        <w:ind w:left="0" w:right="0"/>
        <w:jc w:val="left"/>
      </w:pPr>
      <w:r>
        <w:rPr>
          <w:rFonts w:ascii="Arial" w:hAnsi="Arial" w:eastAsia="Arial" w:cs="Arial"/>
          <w:color w:val="000000"/>
          <w:sz w:val="20"/>
          <w:szCs w:val="20"/>
        </w:rPr>
        <w:t xml:space="preserve">Eine durch andere Bestimmungen (beispielsweise § 1409 ABGB)
begründete Haftung oder Übernahme von Rechtsverhältnissen durch den
Erwerber bleibt unberührt.</w:t>
      </w:r>
    </w:p>
    <w:p>
      <w:pPr>
        <w:widowControl w:val="on"/>
        <w:pBdr/>
        <w:spacing w:before="140" w:after="240" w:line="288" w:lineRule="auto"/>
        <w:ind w:left="0" w:right="0"/>
        <w:jc w:val="left"/>
      </w:pPr>
      <w:r>
        <w:rPr>
          <w:rFonts w:ascii="Arial" w:hAnsi="Arial" w:eastAsia="Arial" w:cs="Arial"/>
          <w:color w:val="000000"/>
          <w:sz w:val="20"/>
          <w:szCs w:val="20"/>
        </w:rPr>
        <w:t xml:space="preserve">Übernimmt der Erwerber des Unternehmens unternehmensbezogene
Rechtsverhältnisse des Veräußerers mit den bis zum
Unternehmensübergang entstandenen Rechten und Verbindlichkeiten, so
haftet der Veräußerer für diese Verbindlichkeiten nur, soweit sie
vor Ablauf von fünf Jahren nach dem Unternehmensübergang fällig
werden. Ansprüche daraus verjähren innerhalb der für die jeweilige
Verbindlichkeit geltenden Verjährungsfrist, längstens jedoch in
drei Jahren.</w:t>
      </w:r>
    </w:p>
    <w:p>
      <w:pPr>
        <w:widowControl w:val="on"/>
        <w:pBdr/>
        <w:spacing w:before="140" w:after="240" w:line="288" w:lineRule="auto"/>
        <w:ind w:left="0" w:right="0"/>
        <w:jc w:val="left"/>
      </w:pPr>
      <w:r>
        <w:rPr>
          <w:rFonts w:ascii="Arial" w:hAnsi="Arial" w:eastAsia="Arial" w:cs="Arial"/>
          <w:color w:val="000000"/>
          <w:sz w:val="20"/>
          <w:szCs w:val="20"/>
        </w:rPr>
        <w:t xml:space="preserve">Im hiergegenständlichen Vertragsmuster werden
unternehmensbezogene Rechtsverhältnisse des Veräußerers vom
Erwerber nicht übernommen; weiters wird die Haftung des Übernehmers
vertraglich ausgeschlossen und es soll (nach den Intentionen der
Gesellschafter) dieser Ausschluss in unmittelbarer zeitlicher Nähe
zum Unternehmensübergang ins Firmenbuch eingetragen werden (dass
dadurch der Haftungsausschluss gegenüber dem Dritten (dem
Gläubiger) wirksam wird, beruht darauf, dass das Gesetz dies (in
§ 38 Abs 4 UGB) ausdrücklich anordnet). (Achtung: dieser
Haftungsausschluss betrifft nicht eine etwaige Haftung der
Gesellschaft als Übernehmerin eines Unternehmens nach § 1409
ABGB; diese Haftung kann nicht ausgeschlossen werden, sie ist aber
der Höhe nach mit dem Wert der übernommenen Unternehmensaktiva
begrenzt.)</w:t>
      </w:r>
    </w:p>
    <w:p>
      <w:pPr>
        <w:widowControl w:val="on"/>
        <w:pBdr/>
        <w:spacing w:before="140" w:after="240" w:line="288" w:lineRule="auto"/>
        <w:ind w:left="0" w:right="0"/>
        <w:jc w:val="left"/>
      </w:pPr>
      <w:r>
        <w:rPr>
          <w:rFonts w:ascii="Arial" w:hAnsi="Arial" w:eastAsia="Arial" w:cs="Arial"/>
          <w:color w:val="000000"/>
          <w:sz w:val="20"/>
          <w:szCs w:val="20"/>
        </w:rPr>
        <w:t xml:space="preserve">Der Gesellschafter Sigfried Süßer bringt seine (damit nicht mehr
von Vergammelung bedrohte) Konditoreiausstattung und einen durchaus
als namhaft zu bezeichnenden Geldbetrag ein. Daneben verpflichtet
sich dieser Gesellschafter zu Arbeitsleistungen, die als Einlage
gewertet werden, wobei ihm durch Vereinbarung auch ein dieser
Einlage entsprechender Anteil an der Gesellschaft (Kapitalanteil)
gewährt wird.</w:t>
      </w:r>
    </w:p>
    <w:p>
      <w:pPr>
        <w:widowControl w:val="on"/>
        <w:pBdr/>
        <w:spacing w:before="140" w:after="240" w:line="288" w:lineRule="auto"/>
        <w:ind w:left="0" w:right="0"/>
        <w:jc w:val="left"/>
      </w:pPr>
      <w:r>
        <w:rPr>
          <w:rFonts w:ascii="Arial" w:hAnsi="Arial" w:eastAsia="Arial" w:cs="Arial"/>
          <w:color w:val="000000"/>
          <w:sz w:val="20"/>
          <w:szCs w:val="20"/>
        </w:rPr>
        <w:t xml:space="preserve">Der Gesellschafter Harald Haube leistet seine Ersparnisse als
Bareinlage und verpflichtet sich daneben zu Arbeitsleistungen als
Restaurantmanager; auch seine Arbeitsleistungen werden als eine mit
einem Kapitalanteil verbundene Einlage gewertet.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 des Vertragsmusters (Ausübung der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Das Gesetz schließt bei der Kommanditgesellschaft die
Kommanditisten grundsätzlich von der Geschäftsführung aus (vgl
§ 164 UGB): diese Regelung ist durch vertragliche Vereinbarung
abänderbar (dispositiv), und es werden im Rahmen des
hiergegenständlichen Musterfalles auch Vorschläge für eine solche
Abänderung unterbreitet.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XIV. des Vertragsmusters (Wettbewerbsverbot)</w:t>
      </w:r>
    </w:p>
    <w:p>
      <w:pPr>
        <w:widowControl w:val="on"/>
        <w:pBdr/>
        <w:spacing w:before="140" w:after="240" w:line="288" w:lineRule="auto"/>
        <w:ind w:left="0" w:right="0"/>
        <w:jc w:val="left"/>
      </w:pPr>
      <w:r>
        <w:rPr>
          <w:rFonts w:ascii="Arial" w:hAnsi="Arial" w:eastAsia="Arial" w:cs="Arial"/>
          <w:color w:val="000000"/>
          <w:sz w:val="20"/>
          <w:szCs w:val="20"/>
        </w:rPr>
        <w:t xml:space="preserve">Die gesetzliche (dispositive) Regelung sieht bezüglich der
Kommanditgesellschaft vor, dass</w:t>
      </w:r>
    </w:p>
    <w:p>
      <w:pPr>
        <w:numPr>
          <w:ilvl w:val="0"/>
          <w:numId w:val="47425939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einen Komplementär das strenge Wettbewerbsverbot der
§§ 112 f UGB betreffend die (stets unbeschränkt haftenden)
Gesellschafter einer Offenen Gesellschaft gilt,</w:t>
      </w:r>
    </w:p>
    <w:p>
      <w:pPr>
        <w:numPr>
          <w:ilvl w:val="0"/>
          <w:numId w:val="47425939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während den Kommanditisten grundsätzlich keine derartige
Beschränkung trifft.</w:t>
      </w:r>
    </w:p>
    <w:p>
      <w:pPr>
        <w:widowControl w:val="on"/>
        <w:pBdr/>
        <w:spacing w:before="140" w:after="240" w:line="288" w:lineRule="auto"/>
        <w:ind w:left="0" w:right="0"/>
        <w:jc w:val="left"/>
      </w:pPr>
      <w:r>
        <w:rPr>
          <w:rFonts w:ascii="Arial" w:hAnsi="Arial" w:eastAsia="Arial" w:cs="Arial"/>
          <w:color w:val="000000"/>
          <w:sz w:val="20"/>
          <w:szCs w:val="20"/>
        </w:rPr>
        <w:t xml:space="preserve">Diesen Ausnahmebestimmungen betreffend den Kommanditisten liegen
offenbar zwei Erwägungen des Gesetzgebers zugrunde:</w:t>
      </w:r>
    </w:p>
    <w:p>
      <w:pPr>
        <w:numPr>
          <w:ilvl w:val="0"/>
          <w:numId w:val="1768149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 die Kommanditisten durch § 164 UGB von der
Geschäftsführung in gewöhnlichen Angelegenheiten ausgeschlossen
sind und ihnen § 166 UGB nur ein stark eingeschränktes
Kontrollrecht gewährt, haben sie keinen Einblick in die operative
Tätigkeit der KG, sodass sie – im Gegensatz zu den Komplementären –
über kein betriebliches Wissen verfügen, welches sie bei
Privatgeschäften missbrauchen könnten.</w:t>
      </w:r>
    </w:p>
    <w:p>
      <w:pPr>
        <w:numPr>
          <w:ilvl w:val="0"/>
          <w:numId w:val="1768149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Gegensatz zum Komplementär setzt der dem gesetzlichen
Leitmodell entsprechende Kommanditist seine Arbeitskraft nicht in
der KG ein, sondern führt der KG nur Kapital zu und ist selbst
anderweitig tätig; in dieser anderweitigen Erwerbstätigkeit soll
der Kommanditist nicht durch ein Wettbewerbsverbot behindert
werden.</w:t>
      </w:r>
    </w:p>
    <w:p>
      <w:pPr>
        <w:widowControl w:val="on"/>
        <w:pBdr/>
        <w:spacing w:before="140" w:after="240" w:line="288" w:lineRule="auto"/>
        <w:ind w:left="0" w:right="0"/>
        <w:jc w:val="left"/>
      </w:pPr>
      <w:r>
        <w:rPr>
          <w:rFonts w:ascii="Arial" w:hAnsi="Arial" w:eastAsia="Arial" w:cs="Arial"/>
          <w:color w:val="000000"/>
          <w:sz w:val="20"/>
          <w:szCs w:val="20"/>
        </w:rPr>
        <w:t xml:space="preserve">Diese Regelungen sind für den vorliegenden Musterfall nicht
wirklich passend:</w:t>
      </w:r>
    </w:p>
    <w:p>
      <w:pPr>
        <w:numPr>
          <w:ilvl w:val="0"/>
          <w:numId w:val="1332036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Sowohl der Komplementär Alfred Anis als auch der Kommanditist
Harald Haube sollen ihre gesamte Arbeitskraft dem von der
Gesellschaft betriebenen Unternehmen zur Verfügung stellen.</w:t>
      </w:r>
    </w:p>
    <w:p>
      <w:pPr>
        <w:numPr>
          <w:ilvl w:val="0"/>
          <w:numId w:val="1332036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Sowohl der Komplementär Alfred Anis als auch der Kommanditist
Harald Haube haben Einblick in die Betriebsabläufe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Womit die Frage nach der Abänderbarkeit im Gesellschaftsvertrag
im Raum steht:</w:t>
      </w:r>
    </w:p>
    <w:p>
      <w:pPr>
        <w:widowControl w:val="on"/>
        <w:pBdr/>
        <w:spacing w:before="140" w:after="240" w:line="288" w:lineRule="auto"/>
        <w:ind w:left="0" w:right="0"/>
        <w:jc w:val="left"/>
      </w:pPr>
      <w:r>
        <w:rPr>
          <w:rFonts w:ascii="Arial" w:hAnsi="Arial" w:eastAsia="Arial" w:cs="Arial"/>
          <w:color w:val="000000"/>
          <w:sz w:val="20"/>
          <w:szCs w:val="20"/>
        </w:rPr>
        <w:t xml:space="preserve">Die §§ 112 113 und 165 UGB stellen grundsätzlich
dispositives – durch den Gesellschaftsvertrag abwandelbares – Recht
dar; möglich wären daher zB die nachstehenden
gesellschaftsvertraglichen Regelungen:</w:t>
      </w:r>
    </w:p>
    <w:p>
      <w:pPr>
        <w:numPr>
          <w:ilvl w:val="0"/>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wird auf das Wettbewerbsverbot verzichtet und jedem
Komplementär die beliebige außergesellschaftliche
Geschäftsbetätigung bzw Beteiligung freigestellt.</w:t>
      </w:r>
    </w:p>
    <w:p>
      <w:pPr>
        <w:numPr>
          <w:ilvl w:val="0"/>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Wettbewerbsverbot wird verschärft, etwa durch das
zusätzliche Verbot von Beteiligungen an Kapitalgesellschaften.</w:t>
      </w:r>
    </w:p>
    <w:p>
      <w:pPr>
        <w:numPr>
          <w:ilvl w:val="0"/>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solche Verschärfung könnte allerdings unter Umständen
wegen Verstoßes gegen die guten Sitten nach § 879 ABGB nichtig
sein.)</w:t>
      </w:r>
    </w:p>
    <w:p>
      <w:pPr>
        <w:numPr>
          <w:ilvl w:val="0"/>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Wettbewerbsverbot wird spezifiziert, indem an die Stelle
der allgemeinen Formulierung „Geschäftszweig der Gesellschaft“ die
Bezeichnung spezifischer Tätigkeitsfelder gesetzt wird (zB: „Den
Gesellschaftern ist es untersagt, ohne Einwilligung aller übrigen
Gesellschafter Geschäfte im Bereich des Handels mit Software zu
tätigen …“).</w:t>
      </w:r>
    </w:p>
    <w:p>
      <w:pPr>
        <w:numPr>
          <w:ilvl w:val="0"/>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Zur Ermöglichung geringfügiger Nebentätigkeiten der
Komplementäre wird eine „Bagatellgrenze“ eingeführt (zB: „Zulässig
ist der Abschluss von Geschäften im Geschäftszweig der
Gesellschaft, sofern der Umsatz aus einem solchen Geschäft im
Einzelfall EUR 500,– inkl USt und weiters die Summe der
Umsätze aus solchen Geschäften in einem Kalendermonat
EUR 3.000,– inkl USt nicht übersteigt …“)</w:t>
      </w:r>
    </w:p>
    <w:p>
      <w:pPr>
        <w:numPr>
          <w:ilvl w:val="0"/>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einem solchen Fall ist allerdings zu spezifizieren, welche
Geschäfte als im Sinne des Wettbewerbsverbots unzulässig angesehen
werden sollen, wenn der Gesamtumsatz aus mehreren Geschäften die
betreffende Bagatellgrenze übersteigt, da sonst das Instrumentarium
des § 113 Abs 1, 2. Halbsatz UGB (zB: „die für eigene
Rechnung gemachten Geschäfte als für Rechnung der Gesellschaft
gelten lassen …“) nicht anwendbar wäre (hier könnte etwa vorgesehen
werden, dass – in zeitlicher Ordnung – alle Geschäfte ab inklusive
jenem Geschäft als verboten gelten, mit dem die
Monats-Bagatellgrenze überschritten worden ist.</w:t>
      </w:r>
    </w:p>
    <w:p>
      <w:pPr>
        <w:numPr>
          <w:ilvl w:val="0"/>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den Fall einer Verletzung des Wettbewerbsverbots wird eine
Konventionalstrafe (Pönale) vorgesehen; eine solche Regelung
empfiehlt sich insbesondere dann, wenn damit zu rechnen ist, dass
in praxi zwar die Tatsache der Verletzung des Wettbewerbsverbots
bewiesen werden könnte, nicht jedoch ein konkreter Schaden.</w:t>
      </w:r>
    </w:p>
    <w:p>
      <w:pPr>
        <w:numPr>
          <w:ilvl w:val="0"/>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Bezüglich eines Komplementärs von mehreren wird das
Wettbewerbsverbot beseitigt oder eingeschränkt; das ist allerdings
wegen des grundsätzlichen Gebots der Gleichbehandlung aller
Gesellschafter nur dann möglich, wenn ein sachlicher Grund für die
Befreiung gerade dieses Komplementärs vorliegt, was zB dann der
Fall sein kann, wenn die außergesellschaftliche Geschäftstätigkeit
des Komplementärs die Akquisition von Kunden für die Gesellschaft
erwarten lässt (etwa deshalb, weil der Komplementäre nur einen
spezifischen Ausschnitt aus dem Geschäftszweig der Gesellschaft
bedient und Kunden, deren Bedarf die Grenzen dieses Ausschnitts
überschreitet, an die Gesellschaft verweisen würde).</w:t>
      </w:r>
    </w:p>
    <w:p>
      <w:pPr>
        <w:numPr>
          <w:ilvl w:val="0"/>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wird ein Wettbewerbsverbot für Kommanditisten vereinbart,
etwa
</w:t>
      </w:r>
    </w:p>
    <w:p>
      <w:pPr>
        <w:numPr>
          <w:ilvl w:val="1"/>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die diesbezügliche Gleichstellung der Kommanditisten mit
den Komplementären oder</w:t>
      </w:r>
    </w:p>
    <w:p>
      <w:pPr>
        <w:numPr>
          <w:ilvl w:val="1"/>
          <w:numId w:val="840382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die Formulierung einer „abgespeckten“ Version des Verbots
für die Kommanditisten (Beispiel: Ein Kommanditist muss eine von
ihm geplante einschlägige Tätigkeit vorab den übrigen
Gesellschaftern anzeigen; die Tätigkeit gilt als genehmigt, wenn
sie nicht innerhalb einer bestimmten Frist durch einstimmigen
Beschluss der übrigen Gesellschafter untersagt wird); in diesem
Zusammenhang sei darauf hingewiesen, das die spezifischen
Rechtsfolgen des § 113 UGB (zB das Recht der Gesellschaft, die
Behandlung eines vom Gesellschafter trotz Verbots abgeschlossenen
Geschäfts als auf Rechnung abgeschlossen zu verlangen) nur dann
gegen einen Kommanditisten geltend gemacht werden können, wenn die
Anwendung des § 113 UGB vereinbart worden ist; wird ein
„Wettbewerbsverbot“ bezüglich des Kommanditisten bloß auf die
Treuepflicht gestützt, so steht der KG nach herrschender Meinung
das spezifische Arsenal des § 113 UGB nicht zur
Verfügung.</w:t>
      </w:r>
    </w:p>
    <w:p>
      <w:pPr>
        <w:widowControl w:val="on"/>
        <w:pBdr/>
        <w:spacing w:before="140" w:after="240" w:line="288" w:lineRule="auto"/>
        <w:ind w:left="0" w:right="0"/>
        <w:jc w:val="left"/>
      </w:pPr>
      <w:r>
        <w:rPr>
          <w:rFonts w:ascii="Arial" w:hAnsi="Arial" w:eastAsia="Arial" w:cs="Arial"/>
          <w:color w:val="000000"/>
          <w:sz w:val="20"/>
          <w:szCs w:val="20"/>
        </w:rPr>
        <w:t xml:space="preserve">Die Möglichkeit einer abweichenden Regelung im
Gesellschaftsvertrag wird im Vertragsmuster genutzt; insbesondere
ist auf die Textvariante 2 zu verweisen, bei der ein an § 112
UGB orientiertes Wettbewerbsverbot auch für den Kommanditisten
Harald Haube festgeschrieben wird. Die bezüglich der Gesellschafter
Alfred Anis bzw Harald Haube getroffenen Regelungen werden auch für
den Gesellschafter Sigfried Süßer vorgesehen, für diesen allerdings
mit der Maßgabe, dass ihm eine Geschäftstätigkeit im Geschäftszweig
der Gesellschaft gestattet ist, sofern sich diese Tätigkeit auf den
Betrieb des Handwerks der Konditoren (Zuckerbäcker) einschließlich
der Lebzelter und der Konditen-, Gefrorenes- und
Schokoladenwarenerzeugung iSd § 94 Z 40 der
Gewerbeordnung beschränkt.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XV. des Vertragsmusters (Kontrollrechte der
Gesellschafter)</w:t>
      </w:r>
    </w:p>
    <w:p>
      <w:pPr>
        <w:widowControl w:val="on"/>
        <w:pBdr/>
        <w:spacing w:before="140" w:after="240" w:line="288" w:lineRule="auto"/>
        <w:ind w:left="0" w:right="0"/>
        <w:jc w:val="left"/>
      </w:pPr>
      <w:r>
        <w:rPr>
          <w:rFonts w:ascii="Arial" w:hAnsi="Arial" w:eastAsia="Arial" w:cs="Arial"/>
          <w:color w:val="000000"/>
          <w:sz w:val="20"/>
          <w:szCs w:val="20"/>
        </w:rPr>
        <w:t xml:space="preserve">Entsprechend der oben dargelegten Vorstellung des Gesetzgebers
vom fehlenden Involvement des Kommanditisten in die operative
Tätigkeit der KG differenziert der Gesetzgeber auch bei den
Kontrollrechten der Gesellschafter; § 118 Abs 1 UGB
normiert iVm § 161 Abs 2 UGB ein Kontrollrecht der
Komplementäre:</w:t>
      </w:r>
    </w:p>
    <w:p>
      <w:pPr>
        <w:widowControl w:val="on"/>
        <w:pBdr/>
        <w:spacing w:before="140" w:after="240" w:line="288" w:lineRule="auto"/>
        <w:ind w:left="0" w:right="0"/>
        <w:jc w:val="left"/>
      </w:pPr>
      <w:r>
        <w:rPr>
          <w:rFonts w:ascii="Arial" w:hAnsi="Arial" w:eastAsia="Arial" w:cs="Arial"/>
          <w:color w:val="000000"/>
          <w:sz w:val="20"/>
          <w:szCs w:val="20"/>
        </w:rPr>
        <w:t xml:space="preserve">Ein Komplementär (hier: Alfred Ansis) kann sich, auch wenn er
von der Geschäftsführung ausgeschlossen ist, von den
Angelegenheiten der Gesellschaft persönlich unterrichten, die
Bücher und Schriften der Gesellschaft einsehen und sich aus ihnen
einen Jahresabschluss oder, wenn nach den Vorschriften des Dritten
Buches keine Pflicht zur Rechnungslegung besteht, eine sonstige
Abrechnung anfertigen oder die Vorlage eines solchen Abschlusses
oder einer solchen Abrechnung fordern.</w:t>
      </w:r>
    </w:p>
    <w:p>
      <w:pPr>
        <w:widowControl w:val="on"/>
        <w:pBdr/>
        <w:spacing w:before="140" w:after="240" w:line="288" w:lineRule="auto"/>
        <w:ind w:left="0" w:right="0"/>
        <w:jc w:val="left"/>
      </w:pPr>
      <w:r>
        <w:rPr>
          <w:rFonts w:ascii="Arial" w:hAnsi="Arial" w:eastAsia="Arial" w:cs="Arial"/>
          <w:color w:val="000000"/>
          <w:sz w:val="20"/>
          <w:szCs w:val="20"/>
        </w:rPr>
        <w:t xml:space="preserve">§ 166 Abs 1 und 2 UGB regelt das Kontrollrecht der
Kommanditisten; demnach ist der Kommanditist berechtigt, die
abschriftliche Mitteilung des Jahresabschlusses oder, wenn nach den
Vorschriften des Dritten Buches keine Pflicht zur Rechnungslegung
besteht, einer sonstigen Abrechnung zu verlangen und dessen
Richtigkeit unter Einsicht der Bücher und Schriften zu prüfen. (Die
im § 118 UGB dem von der Geschäftsführung ausgeschlossenen
Gesellschafter eingeräumten weiteren Rechte stehen dem
Kommanditisten nicht zu.)</w:t>
      </w:r>
    </w:p>
    <w:p>
      <w:pPr>
        <w:widowControl w:val="on"/>
        <w:pBdr/>
        <w:spacing w:before="140" w:after="240" w:line="288" w:lineRule="auto"/>
        <w:ind w:left="0" w:right="0"/>
        <w:jc w:val="left"/>
      </w:pPr>
      <w:r>
        <w:rPr>
          <w:rFonts w:ascii="Arial" w:hAnsi="Arial" w:eastAsia="Arial" w:cs="Arial"/>
          <w:color w:val="000000"/>
          <w:sz w:val="20"/>
          <w:szCs w:val="20"/>
        </w:rPr>
        <w:t xml:space="preserve">Folglich verfügt der Kommanditist nach dem Gesetz im Gegensatz
zum Komplementär nicht über ein laufendes Kontrollrecht; er darf –
grob gesprochen – nur den Jahresabschluss prüfen und in die
Unterlagen der Gesellschaft so weit Einblick nehmen, wie es für
eine sachgerechte Vornahme dieser Prüfung erforderlich ist.</w:t>
      </w:r>
    </w:p>
    <w:p>
      <w:pPr>
        <w:widowControl w:val="on"/>
        <w:pBdr/>
        <w:spacing w:before="140" w:after="240" w:line="288" w:lineRule="auto"/>
        <w:ind w:left="0" w:right="0"/>
        <w:jc w:val="left"/>
      </w:pPr>
      <w:r>
        <w:rPr>
          <w:rFonts w:ascii="Arial" w:hAnsi="Arial" w:eastAsia="Arial" w:cs="Arial"/>
          <w:color w:val="000000"/>
          <w:sz w:val="20"/>
          <w:szCs w:val="20"/>
        </w:rPr>
        <w:t xml:space="preserve">(Die herrschende Lehre gewährt dem Kommanditisten außerdem ein
„Auskunftsrecht“, welches ihm insoweit zukommt, als er es zur
Ausübung seiner Gesellschafterrechte braucht [ein Auskunftsrecht
wäre zB dann gegeben, wenn der Kommanditist an einer Entscheidung
in einer Angelegenheit der außergewöhnlichen Geschäftsführung
teilnähme; es könnten alle zur diesbezüglichen Meinungsbildung des
Kommanditisten notwendigen Informationen verlangt werden.])</w:t>
      </w:r>
    </w:p>
    <w:p>
      <w:pPr>
        <w:widowControl w:val="on"/>
        <w:pBdr/>
        <w:spacing w:before="140" w:after="240" w:line="288" w:lineRule="auto"/>
        <w:ind w:left="0" w:right="0"/>
        <w:jc w:val="left"/>
      </w:pPr>
      <w:r>
        <w:rPr>
          <w:rFonts w:ascii="Arial" w:hAnsi="Arial" w:eastAsia="Arial" w:cs="Arial"/>
          <w:color w:val="000000"/>
          <w:sz w:val="20"/>
          <w:szCs w:val="20"/>
        </w:rPr>
        <w:t xml:space="preserve">Das Kontrollrecht iSd § 118 Abs 1 UGB kann im
Gesellschaftsvertrag weitestgehend modifiziert werden, etwa
dergestalt, dass</w:t>
      </w:r>
    </w:p>
    <w:p>
      <w:pPr>
        <w:numPr>
          <w:ilvl w:val="0"/>
          <w:numId w:val="5030935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Kontrollrecht nicht jedem einzelnen Komplementär zusteht,
sondern nur einem aus der Mitte der Komplementäre gebildeten
Ausschuss oder auch einem externen Sachverständigen, oder</w:t>
      </w:r>
    </w:p>
    <w:p>
      <w:pPr>
        <w:numPr>
          <w:ilvl w:val="0"/>
          <w:numId w:val="5030935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Kontrollrecht der Kommanditisten ausgeschlossen wird,
oder</w:t>
      </w:r>
    </w:p>
    <w:p>
      <w:pPr>
        <w:numPr>
          <w:ilvl w:val="0"/>
          <w:numId w:val="5030935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 die Stelle des Kontrollrechts durch Bucheinsicht etc eine
umfassende Berichtspflicht der geschäftsführenden Gesellschafter
tritt, oder</w:t>
      </w:r>
    </w:p>
    <w:p>
      <w:pPr>
        <w:numPr>
          <w:ilvl w:val="0"/>
          <w:numId w:val="5030935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Kontrollrecht gänzlich ausgeschlossen wird, oder</w:t>
      </w:r>
    </w:p>
    <w:p>
      <w:pPr>
        <w:numPr>
          <w:ilvl w:val="0"/>
          <w:numId w:val="5030935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Kontrollrecht der Kommanditisten erweitert wird.</w:t>
      </w:r>
    </w:p>
    <w:p>
      <w:pPr>
        <w:widowControl w:val="on"/>
        <w:pBdr/>
        <w:spacing w:before="140" w:after="240" w:line="288" w:lineRule="auto"/>
        <w:ind w:left="0" w:right="0"/>
        <w:jc w:val="left"/>
      </w:pPr>
      <w:r>
        <w:rPr>
          <w:rFonts w:ascii="Arial" w:hAnsi="Arial" w:eastAsia="Arial" w:cs="Arial"/>
          <w:color w:val="000000"/>
          <w:sz w:val="20"/>
          <w:szCs w:val="20"/>
        </w:rPr>
        <w:t xml:space="preserve">Für den Fall eines gänzlichen Ausschlusses oder einer
Beschränkung des Kontrollrechts durch den Gesellschaftsvertrag hat
der Gesetzgeber jedoch in den (nicht durch Gesellschaftsvertrag
ausschließbaren) Bestimmungen der §§ 118 Abs 2 bzw 166
Abs 3 UGB einen „Notfallschirm“ bereitgestellt:</w:t>
      </w:r>
    </w:p>
    <w:p>
      <w:pPr>
        <w:widowControl w:val="on"/>
        <w:pBdr/>
        <w:spacing w:before="140" w:after="240" w:line="288" w:lineRule="auto"/>
        <w:ind w:left="0" w:right="0"/>
        <w:jc w:val="left"/>
      </w:pPr>
      <w:r>
        <w:rPr>
          <w:rFonts w:ascii="Arial" w:hAnsi="Arial" w:eastAsia="Arial" w:cs="Arial"/>
          <w:color w:val="000000"/>
          <w:sz w:val="20"/>
          <w:szCs w:val="20"/>
        </w:rPr>
        <w:t xml:space="preserve">Bezüglich des Kontrollrechts der Komplementäre ordnet § 118
Abs 2 UGB an, dass eine dieses Recht ausschließende oder
beschränkende Vereinbarung der Geltendmachung des Rechtes nicht
entgegensteht, wenn Grund zu der Annahme unredlicher
Geschäftsführung besteht.</w:t>
      </w:r>
    </w:p>
    <w:p>
      <w:pPr>
        <w:widowControl w:val="on"/>
        <w:pBdr/>
        <w:spacing w:before="140" w:after="240" w:line="288" w:lineRule="auto"/>
        <w:ind w:left="0" w:right="0"/>
        <w:jc w:val="left"/>
      </w:pPr>
      <w:r>
        <w:rPr>
          <w:rFonts w:ascii="Arial" w:hAnsi="Arial" w:eastAsia="Arial" w:cs="Arial"/>
          <w:color w:val="000000"/>
          <w:sz w:val="20"/>
          <w:szCs w:val="20"/>
        </w:rPr>
        <w:t xml:space="preserve">Betreffend den Kommanditisten findet sich in § 166
Abs 3 UGB eine ähnliche Regelung; nach dieser kann auf Antrag
eines Kommanditisten das Gericht, wenn wichtige Gründe vorliegen,
die Mitteilung einer Bilanz oder sonstiger Aufklärungen sowie die
Vorlegung der Bücher und Schriften jederzeit anordnen.</w:t>
      </w:r>
    </w:p>
    <w:p>
      <w:pPr>
        <w:widowControl w:val="on"/>
        <w:pBdr/>
        <w:spacing w:before="140" w:after="240" w:line="288" w:lineRule="auto"/>
        <w:ind w:left="0" w:right="0"/>
        <w:jc w:val="left"/>
      </w:pPr>
      <w:r>
        <w:rPr>
          <w:rFonts w:ascii="Arial" w:hAnsi="Arial" w:eastAsia="Arial" w:cs="Arial"/>
          <w:color w:val="000000"/>
          <w:sz w:val="20"/>
          <w:szCs w:val="20"/>
        </w:rPr>
        <w:t xml:space="preserve">Unter dem Begriff der „unredlichen Geschäftsführung“ ist ein
vorsätzliches Zuwiderhandeln gegen Interessen der Gesellschaft zu
verstehen.</w:t>
      </w:r>
    </w:p>
    <w:p>
      <w:pPr>
        <w:widowControl w:val="on"/>
        <w:pBdr/>
        <w:spacing w:before="140" w:after="240" w:line="288" w:lineRule="auto"/>
        <w:ind w:left="0" w:right="0"/>
        <w:jc w:val="left"/>
      </w:pPr>
      <w:r>
        <w:rPr>
          <w:rFonts w:ascii="Arial" w:hAnsi="Arial" w:eastAsia="Arial" w:cs="Arial"/>
          <w:color w:val="000000"/>
          <w:sz w:val="20"/>
          <w:szCs w:val="20"/>
        </w:rPr>
        <w:t xml:space="preserve">„Wichtige Gründe“ wären etwa der Verdacht unrechtlichen
Verhaltens eines geschäftsführenden Gesellschafters oder begründete
Zweifel an der Richtigkeit eines dem Kommanditisten übermittelten
Jahresabschlusses.</w:t>
      </w:r>
    </w:p>
    <w:p>
      <w:pPr>
        <w:widowControl w:val="on"/>
        <w:pBdr/>
        <w:spacing w:before="140" w:after="240" w:line="288" w:lineRule="auto"/>
        <w:ind w:left="0" w:right="0"/>
        <w:jc w:val="left"/>
      </w:pPr>
      <w:r>
        <w:rPr>
          <w:rFonts w:ascii="Arial" w:hAnsi="Arial" w:eastAsia="Arial" w:cs="Arial"/>
          <w:color w:val="000000"/>
          <w:sz w:val="20"/>
          <w:szCs w:val="20"/>
        </w:rPr>
        <w:t xml:space="preserve">Die Geltendmachung kann auf dem Gerichtswege
(Außerstreitverfahren) erfolgen; dabei muss der einsichtsuchende
Gesellschafter das Vorliegen entsprechender Verdachtsmomente
bescheinigen.</w:t>
      </w:r>
    </w:p>
    <w:p>
      <w:pPr>
        <w:widowControl w:val="on"/>
        <w:pBdr/>
        <w:spacing w:before="140" w:after="240" w:line="288" w:lineRule="auto"/>
        <w:ind w:left="0" w:right="0"/>
        <w:jc w:val="left"/>
      </w:pPr>
      <w:r>
        <w:rPr>
          <w:rFonts w:ascii="Arial" w:hAnsi="Arial" w:eastAsia="Arial" w:cs="Arial"/>
          <w:color w:val="000000"/>
          <w:sz w:val="20"/>
          <w:szCs w:val="20"/>
        </w:rPr>
        <w:t xml:space="preserve">(Da das „Notfallschirm-Kontrollrecht“ einen „Grund zur Annahme
unredlicher Geschäftsführung“ bzw „wichtige Gründe“ voraussetzt,
kann es faktisch nur geltend gemacht werden, wenn die betreffenden
Verdachtsmomente bereits ohne Einblick in die
Buchhaltung/Urkundensammlung der Gesellschaft vorliegen, etwa in
Gestalt eines dokumentierten „auffälligen“ Verhaltens eines
geschäftsführenden Gesellschafters.)</w:t>
      </w:r>
    </w:p>
    <w:p>
      <w:pPr>
        <w:widowControl w:val="on"/>
        <w:pBdr/>
        <w:spacing w:before="140" w:after="240" w:line="288" w:lineRule="auto"/>
        <w:ind w:left="0" w:right="0"/>
        <w:jc w:val="left"/>
      </w:pPr>
      <w:r>
        <w:rPr>
          <w:rFonts w:ascii="Arial" w:hAnsi="Arial" w:eastAsia="Arial" w:cs="Arial"/>
          <w:color w:val="000000"/>
          <w:sz w:val="20"/>
          <w:szCs w:val="20"/>
        </w:rPr>
        <w:t xml:space="preserve">Im vorliegenden Vertragsmuster werden verschiedene Textvarianten
vorgestellt, welche etwa eine Einschränkung bzw eine Ausdehnung von
Kontrollrechten darstellen.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XVII. des Vertragsmusters (Verteilung von Gewinn und
Verlust)</w:t>
      </w:r>
    </w:p>
    <w:p>
      <w:pPr>
        <w:widowControl w:val="on"/>
        <w:pBdr/>
        <w:spacing w:before="140" w:after="240" w:line="288" w:lineRule="auto"/>
        <w:ind w:left="0" w:right="0"/>
        <w:jc w:val="left"/>
      </w:pPr>
      <w:r>
        <w:rPr>
          <w:rFonts w:ascii="Arial" w:hAnsi="Arial" w:eastAsia="Arial" w:cs="Arial"/>
          <w:color w:val="000000"/>
          <w:sz w:val="20"/>
          <w:szCs w:val="20"/>
        </w:rPr>
        <w:t xml:space="preserve">Hier sei zunächst auf § 167 UGB verwiesen, der anordnet,
dass, soweit der Gesellschaftsvertrag nichts anderes vorsieht, den
unbeschränkt haftenden Gesellschaftern zunächst ein ihrer Haftung
angemessener Betrag des Jahresgewinns zuzuweisen ist und im Übrigen
für den diesen Betrag übersteigenden Teil des Jahresgewinns sowie
für den Verlust eines Geschäftsjahrs § 121 anzuwenden ist.</w:t>
      </w:r>
    </w:p>
    <w:p>
      <w:pPr>
        <w:widowControl w:val="on"/>
        <w:pBdr/>
        <w:spacing w:before="140" w:after="240" w:line="288" w:lineRule="auto"/>
        <w:ind w:left="0" w:right="0"/>
        <w:jc w:val="left"/>
      </w:pPr>
      <w:r>
        <w:rPr>
          <w:rFonts w:ascii="Arial" w:hAnsi="Arial" w:eastAsia="Arial" w:cs="Arial"/>
          <w:color w:val="000000"/>
          <w:sz w:val="20"/>
          <w:szCs w:val="20"/>
        </w:rPr>
        <w:t xml:space="preserve">Diese Regelung soll dem Umstand Rechnung tragen, dass die
Komplementäre wegen der sie treffenden unbeschränkten Haftung ein
höheres Risiko tragen als die bloß beschränkt haftenden
Kommanditisten. Der Gesetzgeber bedient sich der allgemeinen
Formulierung „ein ihrer Haftung angemessener Betrag“, da das
konkrete Verhältnis des Risikos der Komplementäre zu jenem der
Kommanditisten von der konkreten Konstellation im Einzelfall
abhängt; das verhältnismäßige Risiko der Komplementäre wird in der
Regel umso höher sein, je höher die Verbindlichkeiten der KG (für
welche die Komplementäre ja voll haften) relativ zu den Haftsummen
der Kommanditisten sind. (Meines Erachtens müsste bei der
Bestimmung der Angemessenheit des „Gewinnvoraus“ auch der Umstand
berücksichtigt werden, welche faktische Bedeutung der Aspekt der
Haftung der Gesellschafter in der konkreten Situation überhaupt
hat; wenn etwa die KG ein wirtschaftlich gesundes Unternehmen „tief
in den schwarzen Zahlen“ betreibt, sodass die Inanspruchnahme der
Haftung von Gesellschaftern unwahrscheinlich ist, dann lässt sich
wohl argumentieren, der Gesellschafterhaftung käme ein so geringer
Stellenwert zu, dass ein angemessener „Gewinnvoraus“ der
Komplementäre nicht sehr hoch sein könnte.)</w:t>
      </w:r>
    </w:p>
    <w:p>
      <w:pPr>
        <w:widowControl w:val="on"/>
        <w:pBdr/>
        <w:spacing w:before="140" w:after="240" w:line="288" w:lineRule="auto"/>
        <w:ind w:left="0" w:right="0"/>
        <w:jc w:val="left"/>
      </w:pPr>
      <w:r>
        <w:rPr>
          <w:rFonts w:ascii="Arial" w:hAnsi="Arial" w:eastAsia="Arial" w:cs="Arial"/>
          <w:color w:val="000000"/>
          <w:sz w:val="20"/>
          <w:szCs w:val="20"/>
        </w:rPr>
        <w:t xml:space="preserve">(Festgehalten sei, dass die Zuweisung eines haftungsangemessenen
„Gewinnvoraus“ an einen Komplementär nicht dadurch ausgeschlossen
wird, dass ein Komplementär bloßer Arbeitsgesellschafter ohne
Kapitalbeteiligung ist.)</w:t>
      </w:r>
    </w:p>
    <w:p>
      <w:pPr>
        <w:widowControl w:val="on"/>
        <w:pBdr/>
        <w:spacing w:before="140" w:after="240" w:line="288" w:lineRule="auto"/>
        <w:ind w:left="0" w:right="0"/>
        <w:jc w:val="left"/>
      </w:pPr>
      <w:r>
        <w:rPr>
          <w:rFonts w:ascii="Arial" w:hAnsi="Arial" w:eastAsia="Arial" w:cs="Arial"/>
          <w:color w:val="000000"/>
          <w:sz w:val="20"/>
          <w:szCs w:val="20"/>
        </w:rPr>
        <w:t xml:space="preserve">Soweit der Jahresgewinn nicht gemäß der Bestimmung des
§ 167 im Voraus den Komplementären zugewiesen worden ist,
findet § 121 UGB Anwendung:</w:t>
      </w:r>
    </w:p>
    <w:p>
      <w:pPr>
        <w:widowControl w:val="on"/>
        <w:pBdr/>
        <w:spacing w:before="140" w:after="240" w:line="288" w:lineRule="auto"/>
        <w:ind w:left="0" w:right="0"/>
        <w:jc w:val="left"/>
      </w:pPr>
      <w:r>
        <w:rPr>
          <w:rFonts w:ascii="Arial" w:hAnsi="Arial" w:eastAsia="Arial" w:cs="Arial"/>
          <w:color w:val="000000"/>
          <w:sz w:val="20"/>
          <w:szCs w:val="20"/>
        </w:rPr>
        <w:t xml:space="preserve">Wenn Gesellschafter zur Leistung von Diensten verpflichtet sind,
so ist ihnen, sofern ihnen für die Dienste nicht eine Beteiligung
an der Gesellschaft gewährt wird, mangels anderer Vereinbarung ein
den Umständen nach angemessener Betrag des Jahresgewinns
zuzuweisen.</w:t>
      </w:r>
    </w:p>
    <w:p>
      <w:pPr>
        <w:widowControl w:val="on"/>
        <w:pBdr/>
        <w:spacing w:before="140" w:after="240" w:line="288" w:lineRule="auto"/>
        <w:ind w:left="0" w:right="0"/>
        <w:jc w:val="left"/>
      </w:pPr>
      <w:r>
        <w:rPr>
          <w:rFonts w:ascii="Arial" w:hAnsi="Arial" w:eastAsia="Arial" w:cs="Arial"/>
          <w:color w:val="000000"/>
          <w:sz w:val="20"/>
          <w:szCs w:val="20"/>
        </w:rPr>
        <w:t xml:space="preserve">Danach wird der diesen Betrag übersteigende Teil des
Jahresgewinns oder der Verlust eines Geschäftsjahrs sodann den
Gesellschaftern im Verhältnis ihrer Beteiligung (§ 109
Abs 1) zugewiesen.</w:t>
      </w:r>
    </w:p>
    <w:p>
      <w:pPr>
        <w:widowControl w:val="on"/>
        <w:pBdr/>
        <w:spacing w:before="140" w:after="240" w:line="288" w:lineRule="auto"/>
        <w:ind w:left="0" w:right="0"/>
        <w:jc w:val="left"/>
      </w:pPr>
      <w:r>
        <w:rPr>
          <w:rFonts w:ascii="Arial" w:hAnsi="Arial" w:eastAsia="Arial" w:cs="Arial"/>
          <w:color w:val="000000"/>
          <w:sz w:val="20"/>
          <w:szCs w:val="20"/>
        </w:rPr>
        <w:t xml:space="preserve">Enthält der Gesellschaftsvertrag eine von den obigen
gesetzlichen Regeln abweichende Bestimmung über den Anteil am
Gewinn oder über den Anteil am Verlust, so gilt sie im Zweifel für
Gewinn und Verlust.</w:t>
      </w:r>
    </w:p>
    <w:p>
      <w:pPr>
        <w:widowControl w:val="on"/>
        <w:pBdr/>
        <w:spacing w:before="140" w:after="240" w:line="288" w:lineRule="auto"/>
        <w:ind w:left="0" w:right="0"/>
        <w:jc w:val="left"/>
      </w:pPr>
      <w:r>
        <w:rPr>
          <w:rFonts w:ascii="Arial" w:hAnsi="Arial" w:eastAsia="Arial" w:cs="Arial"/>
          <w:color w:val="000000"/>
          <w:sz w:val="20"/>
          <w:szCs w:val="20"/>
        </w:rPr>
        <w:t xml:space="preserve">Im hier vorliegenden Vertragsmuster werden zwei Textvarianten
vorgestellt, wobei der Grundtext dem Komplementär einen
„angemessenen“ Vorabbetrag zuweist, während Variante 1 alle
Gesellschafter entsprechend dem Verhältnis ihrer Kapitalanteile
beteilt.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XX. des Vertragsmusters (Vertretung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gesetzliche Regelung der Vertretung der Gesellschaft findet
sich im gem § 161 Abs 2 UGB auch bei der KG
anzuwendenden § 125 Abs 1 UGB; demnach ist zur Vertretung
der Gesellschaft jeder Gesellschafter befugt (Einzelvertretung),
wenn er nicht durch den Gesellschaftsvertrag davon ausgeschlossen
ist.</w:t>
      </w:r>
    </w:p>
    <w:p>
      <w:pPr>
        <w:widowControl w:val="on"/>
        <w:pBdr/>
        <w:spacing w:before="140" w:after="240" w:line="288" w:lineRule="auto"/>
        <w:ind w:left="0" w:right="0"/>
        <w:jc w:val="left"/>
      </w:pPr>
      <w:r>
        <w:rPr>
          <w:rFonts w:ascii="Arial" w:hAnsi="Arial" w:eastAsia="Arial" w:cs="Arial"/>
          <w:color w:val="000000"/>
          <w:sz w:val="20"/>
          <w:szCs w:val="20"/>
        </w:rPr>
        <w:t xml:space="preserve">Mit Bezug auf den Kommanditisten bestimmt allerdings § 170
UGB, dass dieser als solcher nicht befugt ist, die Gesellschaft zu
vertreten.</w:t>
      </w:r>
    </w:p>
    <w:p>
      <w:pPr>
        <w:widowControl w:val="on"/>
        <w:pBdr/>
        <w:spacing w:before="140" w:after="240" w:line="288" w:lineRule="auto"/>
        <w:ind w:left="0" w:right="0"/>
        <w:jc w:val="left"/>
      </w:pPr>
      <w:r>
        <w:rPr>
          <w:rFonts w:ascii="Arial" w:hAnsi="Arial" w:eastAsia="Arial" w:cs="Arial"/>
          <w:color w:val="000000"/>
          <w:sz w:val="20"/>
          <w:szCs w:val="20"/>
        </w:rPr>
        <w:t xml:space="preserve">Dem gesetzlichen Leitmodell entspricht also die
Einzelvertretungsbefugnis jedes Komplementärs; da – wie unter näher
behandelt – bei der Vertretungsmacht nicht zwischen gewöhnlichen
und außergewöhnlichen Angelegenheiten differenziert wird, kann also
jeder Komplementär in allen Angelegenheiten (außer
Grundlagengeschäften) die Gesellschaft alleine vertreten.</w:t>
      </w:r>
    </w:p>
    <w:p>
      <w:pPr>
        <w:widowControl w:val="on"/>
        <w:pBdr/>
        <w:spacing w:before="140" w:after="240" w:line="288" w:lineRule="auto"/>
        <w:ind w:left="0" w:right="0"/>
        <w:jc w:val="left"/>
      </w:pPr>
      <w:r>
        <w:rPr>
          <w:rFonts w:ascii="Arial" w:hAnsi="Arial" w:eastAsia="Arial" w:cs="Arial"/>
          <w:color w:val="000000"/>
          <w:sz w:val="20"/>
          <w:szCs w:val="20"/>
        </w:rPr>
        <w:t xml:space="preserve">Diese Regelung ist zwingend; von ihr kann im
Gesellschaftsvertrag nur in den nachstehend angeführten, gesetzlich
vorgesehenen Punkten abgegangen werden:</w:t>
      </w:r>
    </w:p>
    <w:p>
      <w:pPr>
        <w:numPr>
          <w:ilvl w:val="0"/>
          <w:numId w:val="47262864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Ausschluss einzelner Gesellschafter von der Vertretung
der KG oder</w:t>
      </w:r>
    </w:p>
    <w:p>
      <w:pPr>
        <w:numPr>
          <w:ilvl w:val="0"/>
          <w:numId w:val="47262864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eine Regelung, nach welcher mehrere Personen bei einem
Vertretungsakt gemeinsam agieren müssen.</w:t>
      </w:r>
    </w:p>
    <w:p>
      <w:pPr>
        <w:widowControl w:val="on"/>
        <w:pBdr/>
        <w:spacing w:before="140" w:after="240" w:line="288" w:lineRule="auto"/>
        <w:ind w:left="0" w:right="0"/>
        <w:jc w:val="left"/>
      </w:pPr>
      <w:r>
        <w:rPr>
          <w:rFonts w:ascii="Arial" w:hAnsi="Arial" w:eastAsia="Arial" w:cs="Arial"/>
          <w:color w:val="000000"/>
          <w:sz w:val="20"/>
          <w:szCs w:val="20"/>
        </w:rPr>
        <w:t xml:space="preserve">Das Gesetz stellt in den Absätzen 2 und 3 des § 125 UGB
verschiedene Möglichkeiten zur Verfügung:</w:t>
      </w:r>
    </w:p>
    <w:p>
      <w:pPr>
        <w:numPr>
          <w:ilvl w:val="0"/>
          <w:numId w:val="26270893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Gesellschaftsvertrag kann bestimmt werden, dass alle oder
mehrere Gesellschafter nur in Gemeinschaft zur Vertretung der
Gesellschaft ermächtigt sein sollen (Gesamtvertretung). Die zur
Gesamtvertretung berechtigten Gesellschafter können Einzelne von
ihnen zur Vornahme bestimmter Geschäfte oder bestimmter Arten von
Geschäften ermächtigen. Ist der Gesellschaft gegenüber eine
Willenserklärung abzugeben, so genügt jedenfalls die Abgabe
gegenüber einem der zur Mitwirkung bei der Vertretung befugten
Gesellschafter (passive Einzelvertretung).</w:t>
      </w:r>
    </w:p>
    <w:p>
      <w:pPr>
        <w:numPr>
          <w:ilvl w:val="0"/>
          <w:numId w:val="26270893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Gesellschaftsvertrag kann bestimmt werden, dass die
Gesellschafter, wenn nicht mehrere zusammen handeln, nur in
Gemeinschaft mit einem Prokuristen zur Vertretung der Gesellschaft
ermächtigt sein sollen (gemischte Gesamtvertretung). Die
Vorschriften des Abs 2 zweiter und dritter Satz finden in
diesem Fall entsprechende Anwendung.</w:t>
      </w:r>
    </w:p>
    <w:p>
      <w:pPr>
        <w:widowControl w:val="on"/>
        <w:pBdr/>
        <w:spacing w:before="140" w:after="240" w:line="288" w:lineRule="auto"/>
        <w:ind w:left="0" w:right="0"/>
        <w:jc w:val="left"/>
      </w:pPr>
      <w:r>
        <w:rPr>
          <w:rFonts w:ascii="Arial" w:hAnsi="Arial" w:eastAsia="Arial" w:cs="Arial"/>
          <w:color w:val="000000"/>
          <w:sz w:val="20"/>
          <w:szCs w:val="20"/>
        </w:rPr>
        <w:t xml:space="preserve">Entscheiden sich die Gründer der KG im Gesellschaftsvertrag für
die Gesamtvertretung durch – alle oder mehrere – Komplementäre, so
bedeutet dies, dass Vertretungsakte von diesen Komplementären nur
einhellig (zB Unterfertigung einer Vertragsurkunde durch alle
Gesamtvertreter) gesetzt werden können. (Haben einzelne, aber nicht
alle Gesamtvertreter am Vertretungsakt mitgewirkt [zB eine
Vertragsurkunde unterschrieben], so ist das Geschäft „schwebend
unwirksam“ und erlangt erst durch das Handeln der übrigen
Gesamtvertreter volle Wirksamkeit).</w:t>
      </w:r>
    </w:p>
    <w:p>
      <w:pPr>
        <w:widowControl w:val="on"/>
        <w:pBdr/>
        <w:spacing w:before="140" w:after="240" w:line="288" w:lineRule="auto"/>
        <w:ind w:left="0" w:right="0"/>
        <w:jc w:val="left"/>
      </w:pPr>
      <w:r>
        <w:rPr>
          <w:rFonts w:ascii="Arial" w:hAnsi="Arial" w:eastAsia="Arial" w:cs="Arial"/>
          <w:color w:val="000000"/>
          <w:sz w:val="20"/>
          <w:szCs w:val="20"/>
        </w:rPr>
        <w:t xml:space="preserve">Außer dieser „echten“ Gesamtvertretung kann auch eine
„gemischte“ oder „unechte“ Gesamtvertretung
gesellschaftsvertraglich vorgesehen werden:</w:t>
      </w:r>
    </w:p>
    <w:p>
      <w:pPr>
        <w:widowControl w:val="on"/>
        <w:pBdr/>
        <w:spacing w:before="140" w:after="240" w:line="288" w:lineRule="auto"/>
        <w:ind w:left="0" w:right="0"/>
        <w:jc w:val="left"/>
      </w:pPr>
      <w:r>
        <w:rPr>
          <w:rFonts w:ascii="Arial" w:hAnsi="Arial" w:eastAsia="Arial" w:cs="Arial"/>
          <w:color w:val="000000"/>
          <w:sz w:val="20"/>
          <w:szCs w:val="20"/>
        </w:rPr>
        <w:t xml:space="preserve">Ein oder mehrere Komplementäre ist/sind nur gemeinsam mit einem
Prokuristen vertretungsbefugt. In diesem Fall richtet sich der
Umfang der Vertretungsbefugnis des Prokuristen nach der des
Gesellschafters (siehe unten; der Prokurist kann also hier zB auch
an der Erteilung einer Prokura mitwirken).</w:t>
      </w:r>
    </w:p>
    <w:p>
      <w:pPr>
        <w:widowControl w:val="on"/>
        <w:pBdr/>
        <w:spacing w:before="140" w:after="240" w:line="288" w:lineRule="auto"/>
        <w:ind w:left="0" w:right="0"/>
        <w:jc w:val="left"/>
      </w:pPr>
      <w:r>
        <w:rPr>
          <w:rFonts w:ascii="Arial" w:hAnsi="Arial" w:eastAsia="Arial" w:cs="Arial"/>
          <w:color w:val="000000"/>
          <w:sz w:val="20"/>
          <w:szCs w:val="20"/>
        </w:rPr>
        <w:t xml:space="preserve">Festzuhalten ist jedoch, dass der Gesellschaftsvertrag die
gemischte Gesamtvertretung nicht als die einzige Möglichkeit der
Vertretung der KG vorsehen darf; wegen des Prinzips der
Selbstorganschaft muss vielmehr immer eine Variante offenstehen,
bei der die Gesellschaft nur durch einen oder mehrere
Komplementär(e) ohne die Mitwirkung eines Prokuristen vertreten
wird.</w:t>
      </w:r>
    </w:p>
    <w:p>
      <w:pPr>
        <w:widowControl w:val="on"/>
        <w:pBdr/>
        <w:spacing w:before="140" w:after="240" w:line="288" w:lineRule="auto"/>
        <w:ind w:left="0" w:right="0"/>
        <w:jc w:val="left"/>
      </w:pPr>
      <w:r>
        <w:rPr>
          <w:rFonts w:ascii="Arial" w:hAnsi="Arial" w:eastAsia="Arial" w:cs="Arial"/>
          <w:color w:val="000000"/>
          <w:sz w:val="20"/>
          <w:szCs w:val="20"/>
        </w:rPr>
        <w:t xml:space="preserve">Im Fall der Gesamtvertretung – mag sie echt oder gemischt sein –
kommt jedem Vertreter die passive Einzelvertretungsbefugnis zu, das
heißt, eine Erklärung (zB Kündigung, Vertragsanbot, Erklärung der
Annahme eines Vertragsanbotes) gilt als der KG zugegangen, wenn sie
einem der Gesamtvertreter zugegangen ist.</w:t>
      </w:r>
    </w:p>
    <w:p>
      <w:pPr>
        <w:widowControl w:val="on"/>
        <w:pBdr/>
        <w:spacing w:before="140" w:after="240" w:line="288" w:lineRule="auto"/>
        <w:ind w:left="0" w:right="0"/>
        <w:jc w:val="left"/>
      </w:pPr>
      <w:r>
        <w:rPr>
          <w:rFonts w:ascii="Arial" w:hAnsi="Arial" w:eastAsia="Arial" w:cs="Arial"/>
          <w:color w:val="000000"/>
          <w:sz w:val="20"/>
          <w:szCs w:val="20"/>
        </w:rPr>
        <w:t xml:space="preserve">Bei jeder Form der Gesamtvertretung besteht weiters die
Möglichkeit, dass einzelne Vertreter zur selbstständigen Vornahme
bestimmter Geschäfte oder von bestimmten Arten von Geschäften
ermächtigt werden (der Ermächtigende erteilt diesfalls gleichsam
die bei der Gesamtvertretung notwendige Zustimmung im Voraus.
Ausgeschlossen ist eine Ermächtigung zu sämtlichen Geschäften, die
im Rahmen der Gesamtvertretung möglich sind; für diesen Ausschluss
spricht nicht nur der Gesetzestext, sondern auch der Umstand, dass
ansonsten die Vertreter die gesellschaftsvertragliche Anordnung der
Gesamtvertretung aushebeln könnten).</w:t>
      </w:r>
    </w:p>
    <w:p>
      <w:pPr>
        <w:widowControl w:val="on"/>
        <w:pBdr/>
        <w:spacing w:before="140" w:after="240" w:line="288" w:lineRule="auto"/>
        <w:ind w:left="0" w:right="0"/>
        <w:jc w:val="left"/>
      </w:pPr>
      <w:r>
        <w:rPr>
          <w:rFonts w:ascii="Arial" w:hAnsi="Arial" w:eastAsia="Arial" w:cs="Arial"/>
          <w:color w:val="000000"/>
          <w:sz w:val="20"/>
          <w:szCs w:val="20"/>
        </w:rPr>
        <w:t xml:space="preserve">Wichtig ist festzuhalten, dass die §§ 125 und 170 UGB
zwingenden Charakter haben und widersprechende Anordnungen im
Gesellschaftsvertrag – zB der Ausschluss der passiven
Einzelvertretungsbefugnis bei der Gesamtvertretung – daher
unzulässig sind.</w:t>
      </w:r>
    </w:p>
    <w:p>
      <w:pPr>
        <w:widowControl w:val="on"/>
        <w:pBdr/>
        <w:spacing w:before="140" w:after="240" w:line="288" w:lineRule="auto"/>
        <w:ind w:left="0" w:right="0"/>
        <w:jc w:val="left"/>
      </w:pPr>
      <w:r>
        <w:rPr>
          <w:rFonts w:ascii="Arial" w:hAnsi="Arial" w:eastAsia="Arial" w:cs="Arial"/>
          <w:color w:val="000000"/>
          <w:sz w:val="20"/>
          <w:szCs w:val="20"/>
        </w:rPr>
        <w:t xml:space="preserve">Nach den zwingenden Bestimmungen des Gesetzes kann einem
Kommanditisten im Gesellschaftsvertrag somit keine organschaftliche
Vertretungsbefugnis für die Kommanditgesellschaft eingeräumt
werden; da aber im hier vorliegenden Musterfall eine Vertretung der
Gesellschaft durch den Kommanditisten Sigfried Süßer (der ja den
Konditoreibereich betreuen soll) durchaus wünschenswert scheint,
ist als Textvariante die Hinzufügung einer Bestimmung vorgesehen,
mittels derer diesem Kommanditisten eine rechtsgeschäftliche
Vertretungsbefugnis in Gestalt einer Prokura eingeräumt werden soll
(diese Prokura enthält nicht den Zusatz betreffend die Veräußerung
oder Belastung von Grundstücken, da derartige Tätigkeiten nicht in
den Aufgabenbereich Sigfried Süßers fallen).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XXII. des Vertragsmusters (Haftung der Gesellschafter
für Verbindlichkeiten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Für die als „Gesamthandschaft“ konstruierte KG ist
charakteristisch, dass für Verbindlichkeiten der Gesellschaft
(mögen sie vertraglichen [zB: Kaufpreisschuld], zivilgesetzlichen
[zB: Schadenersatzpflicht], steuerrechtlichen oder sonstigen
Ursprungs sein) neben der Gesellschaft selbst auch deren
Gesellschafter persönlich (mit ihrem Privatvermögen) haften; dabei
ist – was eine Besonderheit der KG darstellt – hinsichtlich des
Ausmaßes der Haftung zwischen den beiden Gesellschaftertypen zu
unterscheiden:</w:t>
      </w:r>
    </w:p>
    <w:p>
      <w:pPr>
        <w:numPr>
          <w:ilvl w:val="0"/>
          <w:numId w:val="6290178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Komplementäre haften ohne betragliche Beschränkung,</w:t>
      </w:r>
    </w:p>
    <w:p>
      <w:pPr>
        <w:numPr>
          <w:ilvl w:val="0"/>
          <w:numId w:val="6290178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Haftung der Kommanditisten dagegen ist auf einen
Höchstbetrag („Haftsumme“) beschränkt.</w:t>
      </w:r>
    </w:p>
    <w:p>
      <w:pPr>
        <w:widowControl w:val="on"/>
        <w:pBdr/>
        <w:spacing w:before="140" w:after="240" w:line="288" w:lineRule="auto"/>
        <w:ind w:left="0" w:right="0"/>
        <w:jc w:val="left"/>
      </w:pPr>
      <w:r>
        <w:rPr>
          <w:rFonts w:ascii="Arial" w:hAnsi="Arial" w:eastAsia="Arial" w:cs="Arial"/>
          <w:color w:val="000000"/>
          <w:sz w:val="20"/>
          <w:szCs w:val="20"/>
        </w:rPr>
        <w:t xml:space="preserve">Konkret ist die Haftung durch die – wegen der Zielsetzung des
Schutzes Dritter (der Gläubiger) zwingenden, also nicht durch
Gesellschaftsvertrag abänderbaren – gesetzlichen Bestimmungen wie
folgt gestaltet:</w:t>
      </w:r>
    </w:p>
    <w:p>
      <w:pPr>
        <w:widowControl w:val="on"/>
        <w:pBdr/>
        <w:spacing w:before="140" w:after="240" w:line="288" w:lineRule="auto"/>
        <w:ind w:left="0" w:right="0"/>
        <w:jc w:val="left"/>
      </w:pPr>
      <w:r>
        <w:rPr>
          <w:rFonts w:ascii="Arial" w:hAnsi="Arial" w:eastAsia="Arial" w:cs="Arial"/>
          <w:color w:val="000000"/>
          <w:sz w:val="20"/>
          <w:szCs w:val="20"/>
        </w:rPr>
        <w:t xml:space="preserve">Grundlegend ist § 128 iVm § 161 Abs 2 UGB, wonach
die Gesellschafter für die Verbindlichkeiten der Gesellschaft den
Gläubigern als Gesamtschuldner unbeschränkt haften und eine
entgegenstehende Vereinbarung Dritten gegenüber unwirksam ist.</w:t>
      </w:r>
    </w:p>
    <w:p>
      <w:pPr>
        <w:widowControl w:val="on"/>
        <w:pBdr/>
        <w:spacing w:before="140" w:after="240" w:line="288" w:lineRule="auto"/>
        <w:ind w:left="0" w:right="0"/>
        <w:jc w:val="left"/>
      </w:pPr>
      <w:r>
        <w:rPr>
          <w:rFonts w:ascii="Arial" w:hAnsi="Arial" w:eastAsia="Arial" w:cs="Arial"/>
          <w:color w:val="000000"/>
          <w:sz w:val="20"/>
          <w:szCs w:val="20"/>
        </w:rPr>
        <w:t xml:space="preserve">Die konkrete Ausformung der Haftung ergibt sich in Zusammenschau
mit dem gem § 161 Abs 2 anzuwendenden § 129
UGB, wonach die folgende Regelung gilt:</w:t>
      </w:r>
    </w:p>
    <w:p>
      <w:pPr>
        <w:numPr>
          <w:ilvl w:val="0"/>
          <w:numId w:val="548599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Wird ein Gesellschafter wegen einer Verbindlichkeit der
Gesellschaft in Anspruch genommen, so kann er Einwendungen, die
nicht in seiner Person begründet sind, nur insoweit geltend machen,
als sie von der Gesellschaft erhoben werden können.</w:t>
      </w:r>
    </w:p>
    <w:p>
      <w:pPr>
        <w:numPr>
          <w:ilvl w:val="0"/>
          <w:numId w:val="548599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kann die Befriedigung des Gläubigers
verweigern, solange der Gesellschaft das Recht zusteht, das ihrer
Verbindlichkeit zugrunde liegende Rechtsgeschäft anzufechten.</w:t>
      </w:r>
    </w:p>
    <w:p>
      <w:pPr>
        <w:numPr>
          <w:ilvl w:val="0"/>
          <w:numId w:val="548599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gleiche Befugnis hat der Gesellschafter, solange sich der
Gläubiger durch Aufrechnung gegen eine fällige Forderung der
Gesellschaft befriedigen kann.</w:t>
      </w:r>
    </w:p>
    <w:p>
      <w:pPr>
        <w:numPr>
          <w:ilvl w:val="0"/>
          <w:numId w:val="54859908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 einem gegen die Gesellschaft gerichteten vollstreckbaren
Schuldtitel findet die Zwangsvollstreckung gegen die Gesellschafter
nicht statt.</w:t>
      </w:r>
    </w:p>
    <w:p>
      <w:pPr>
        <w:widowControl w:val="on"/>
        <w:pBdr/>
        <w:spacing w:before="140" w:after="240" w:line="288" w:lineRule="auto"/>
        <w:ind w:left="0" w:right="0"/>
        <w:jc w:val="left"/>
      </w:pPr>
      <w:r>
        <w:rPr>
          <w:rFonts w:ascii="Arial" w:hAnsi="Arial" w:eastAsia="Arial" w:cs="Arial"/>
          <w:color w:val="000000"/>
          <w:sz w:val="20"/>
          <w:szCs w:val="20"/>
        </w:rPr>
        <w:t xml:space="preserve">Die Haftung eines Gesellschafters weist demnach grundsätzlich
die nachstehenden Eigenschaften auf:</w:t>
      </w:r>
    </w:p>
    <w:p>
      <w:pPr>
        <w:numPr>
          <w:ilvl w:val="0"/>
          <w:numId w:val="2755708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Sie ist persönlich, das heißt, der Gesellschafter haftet mit
seinem gesamten Privatvermögen (soweit dieses nicht aus anderen
Gründen der Exekution entzogen ist) und nicht etwa bloß mit seiner
Einlage.</w:t>
      </w:r>
    </w:p>
    <w:p>
      <w:pPr>
        <w:numPr>
          <w:ilvl w:val="0"/>
          <w:numId w:val="2755708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Sie ist unbeschränkt, das heißt, die Haftung erstreckt sich auf
die Gesellschaftsverbindlichkeit in ihrer vollen Höhe (und nicht
nur bis zur Höhe der Einlage; demnach haftet ein entsprechend einer
Einlage von EUR 10.000,– an einer KG beteiligter
Gesellschafter unter Umständen für eine Verbindlichkeit von
EUR 500.000,–).</w:t>
      </w:r>
    </w:p>
    <w:p>
      <w:pPr>
        <w:numPr>
          <w:ilvl w:val="0"/>
          <w:numId w:val="2755708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Sie ist direkt, das heißt, die Ansprüche des Gläubigers
bestehen direkt gegenüber dem Gesellschafter; der Gläubiger der
Gesellschaft kann sich unmittelbar an den Gesellschafter wenden,
ohne seine Forderung gegenüber der Gesellschaft geltend zu machen
(der Autohändler, welcher einen Lieferwagen an die Meier, Müller
&amp; Co KG verkauft hat, kann den Kaufpreis direkt bei
Komplementär Meier oder Komplementär Müller einklagen, ohne eine
Klage gegen die Gesellschaft zu erheben. Insbesondere ist es nicht
erforderlich, dass ein Gesellschaftsgläubiger zunächst die
Gesellschaft klagt, Ansprüche der Gesellschaft gegen einen
Gesellschafter pfändet und dann diese Ansprüche gegen den
Gesellschafter geltend macht).</w:t>
      </w:r>
    </w:p>
    <w:p>
      <w:pPr>
        <w:numPr>
          <w:ilvl w:val="0"/>
          <w:numId w:val="2755708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Haftung ist primär, das heißt, der Gesellschafter haftet
ohne Rücksicht darauf, ob die Forderung des Gesellschaftsgläubigers
gegenüber der Gesellschaft einbringlich oder (etwa wegen
Gesellschaftskonkurses) nicht einbringlich wäre; der Gesellschafter
kann also dem Gläubiger nicht entgegenhalten, dass dieser
Befriedigung aus dem Gesellschaftsvermögen erlangen könnte.</w:t>
      </w:r>
    </w:p>
    <w:p>
      <w:pPr>
        <w:numPr>
          <w:ilvl w:val="0"/>
          <w:numId w:val="2755708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Haftung ist solidarisch, das heißt, jeder Gesellschafter
haftet für die gesamte Verbindlichkeit; der Gläubiger kann nach
seinem Belieben die Gesellschaft, alle Gesellschafter oder auch
irgendeinen der Gesellschafter für die Begleichung der vollen
Verbindlichkeit in Anspruch nehmen.</w:t>
      </w:r>
      <w:r>
        <w:rPr>
          <w:rFonts w:ascii="Arial" w:hAnsi="Arial" w:eastAsia="Arial" w:cs="Arial"/>
          <w:color w:val="000000"/>
          <w:sz w:val="20"/>
          <w:szCs w:val="20"/>
        </w:rPr>
        <w:br/>
        <w:t xml:space="preserve">(Beispiel: Wenn der Gläubiger gegen eine Gesellschaft mit vier
Gesellschaftern eine Forderung auf EUR 20.000,– hat, so
braucht er nicht jeden Gesellschafter auf jeweils EUR 5.000,–
zu klagen, sondern er kann vielmehr die gesamte Summe gegen einen
Gesellschafter geltend machen).</w:t>
      </w:r>
    </w:p>
    <w:p>
      <w:pPr>
        <w:widowControl w:val="on"/>
        <w:pBdr/>
        <w:spacing w:before="140" w:after="240" w:line="288" w:lineRule="auto"/>
        <w:ind w:left="0" w:right="0"/>
        <w:jc w:val="left"/>
      </w:pPr>
      <w:r>
        <w:rPr>
          <w:rFonts w:ascii="Arial" w:hAnsi="Arial" w:eastAsia="Arial" w:cs="Arial"/>
          <w:color w:val="000000"/>
          <w:sz w:val="20"/>
          <w:szCs w:val="20"/>
        </w:rPr>
        <w:t xml:space="preserve">Bezüglich der Kommanditisten wird die Haftung allerdings durch
die Bestimmungen der §§ 171 und 172 UGB beschränkt:</w:t>
      </w:r>
    </w:p>
    <w:p>
      <w:pPr>
        <w:widowControl w:val="on"/>
        <w:pBdr/>
        <w:spacing w:before="140" w:after="240" w:line="288" w:lineRule="auto"/>
        <w:ind w:left="0" w:right="0"/>
        <w:jc w:val="left"/>
      </w:pPr>
      <w:r>
        <w:rPr>
          <w:rFonts w:ascii="Arial" w:hAnsi="Arial" w:eastAsia="Arial" w:cs="Arial"/>
          <w:color w:val="000000"/>
          <w:sz w:val="20"/>
          <w:szCs w:val="20"/>
        </w:rPr>
        <w:t xml:space="preserve">§ 171 Abs 1 UGB normiert, dass der Kommanditist den
Gläubigern der Gesellschaft bis zur Höhe der im Firmenbuch
eingetragenen Haftsumme unmittelbar haftet; die Haftung ist
ausgeschlossen, soweit die Einlage geleistet ist; auf Verlangen hat
der Kommanditist den Gläubigern über die Höhe der geleisteten
Einlage binnen angemessener Frist Auskunft zu geben.</w:t>
      </w:r>
    </w:p>
    <w:p>
      <w:pPr>
        <w:widowControl w:val="on"/>
        <w:pBdr/>
        <w:spacing w:before="140" w:after="240" w:line="288" w:lineRule="auto"/>
        <w:ind w:left="0" w:right="0"/>
        <w:jc w:val="left"/>
      </w:pPr>
      <w:r>
        <w:rPr>
          <w:rFonts w:ascii="Arial" w:hAnsi="Arial" w:eastAsia="Arial" w:cs="Arial"/>
          <w:color w:val="000000"/>
          <w:sz w:val="20"/>
          <w:szCs w:val="20"/>
        </w:rPr>
        <w:t xml:space="preserve">Zum Zweck der Vermeidung von Missverständnissen bei der
Interpretation dieser für die Position des Kommanditisten
essenziellen Bestimmung sei zunächst eine Klärung der Begriffe
„Haftsumme“ und „Einlage“ vorgenommen:</w:t>
      </w:r>
    </w:p>
    <w:p>
      <w:pPr>
        <w:numPr>
          <w:ilvl w:val="0"/>
          <w:numId w:val="9994528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„Haftsumme“ ist jener Geldbetrag, bis zu dessen Höhe der
Kommanditist für Verbindlichkeiten der Gesellschaft den Gläubigern
unmittelbar haftet (wobei die gesamte Haftung des Kommanditisten
für alle Verbindlichkeiten zusammen durch die Höhe der Haftsumme
begrenzt wird, nicht etwa bloß die Haftung im einzelnen
Haftungsfall); für die haftungsbegrenzende Wirkung ist die
Eintragung der Haftsumme in das Firmenbuch erforderlich (da die
Haftsumme die Haftung des Kommanditisten gegenüber Dritten
(Personen, die nicht Partner des Gesellschaftsvertrages sind)
beschränkt, müssen diese Dritten die Möglichkeit haben, von der
Haftsumme Kenntnis zu erlangen).</w:t>
      </w:r>
    </w:p>
    <w:p>
      <w:pPr>
        <w:numPr>
          <w:ilvl w:val="0"/>
          <w:numId w:val="9994528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„Einlage“ des Kommanditisten (auch „bedungene Einlage“ oder
„Pflichteinlage“) ist jener Vermögenswert, zu dessen Leistung an
die Gesellschaft der Kommanditist sich im Gesellschaftsvertrag
verpflichtet (zB: „Kommanditist Schulze leistet eine Bareinlage von
EUR 10.000,–“); die Einlage betrifft also grundsätzlich das
Innenverhältnis der KG (sie ist nach dem gesetzlichen Leitmodell
insbesondere für die Bestimmung des Kapitalanteils des
Kommanditisten relevant).</w:t>
      </w:r>
    </w:p>
    <w:p>
      <w:pPr>
        <w:widowControl w:val="on"/>
        <w:pBdr/>
        <w:spacing w:before="140" w:after="240" w:line="288" w:lineRule="auto"/>
        <w:ind w:left="0" w:right="0"/>
        <w:jc w:val="left"/>
      </w:pPr>
      <w:r>
        <w:rPr>
          <w:rFonts w:ascii="Arial" w:hAnsi="Arial" w:eastAsia="Arial" w:cs="Arial"/>
          <w:color w:val="000000"/>
          <w:sz w:val="20"/>
          <w:szCs w:val="20"/>
        </w:rPr>
        <w:t xml:space="preserve">Die beiden Beträge können im Gesellschaftsvertrag beliebig und
unabhängig von einander festgelegt werden:</w:t>
      </w:r>
    </w:p>
    <w:p>
      <w:pPr>
        <w:numPr>
          <w:ilvl w:val="0"/>
          <w:numId w:val="3263012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Einerseits könnte der Kommanditist A, der sich mit einem hohen
Betrag an der Gesellschaft beteiligen, aber nicht von einem
Gläubiger vor dem Handelsgericht geklagt werden können will, eine
bedungene Einlage von EUR 25.000,– und eine ins Firmenbuch
einzutragende Haftsumme von nur EUR 5.000,– vereinbaren.</w:t>
      </w:r>
    </w:p>
    <w:p>
      <w:pPr>
        <w:numPr>
          <w:ilvl w:val="0"/>
          <w:numId w:val="3263012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Andererseits könnte der Kommanditist B, der die KG seiner
Neffen (Komplementäre) durch die Übernahme einer hohen Haftung
unterstützten möchte, ohne Geld für eine Einlagenzahlung in die
Hand nehmen zu müssen, gesellschaftsvertraglich eine Einlage von
EUR 5.000,– und eine Haftsumme von EUR 25.000,–
vereinbaren.</w:t>
      </w:r>
    </w:p>
    <w:p>
      <w:pPr>
        <w:widowControl w:val="on"/>
        <w:pBdr/>
        <w:spacing w:before="140" w:after="240" w:line="288" w:lineRule="auto"/>
        <w:ind w:left="0" w:right="0"/>
        <w:jc w:val="left"/>
      </w:pPr>
      <w:r>
        <w:rPr>
          <w:rFonts w:ascii="Arial" w:hAnsi="Arial" w:eastAsia="Arial" w:cs="Arial"/>
          <w:color w:val="000000"/>
          <w:sz w:val="20"/>
          <w:szCs w:val="20"/>
        </w:rPr>
        <w:t xml:space="preserve">Die Möglichkeit der Gesellschaftsgläubiger, die ihnen gegen die
KG zustehenden Forderungen gegen einen Kommanditisten geltend zu
machen, wird durch die im Firmenbuch eingetragene Haftsumme dieses
Kommanditisten begrenzt.</w:t>
      </w:r>
    </w:p>
    <w:p>
      <w:pPr>
        <w:widowControl w:val="on"/>
        <w:pBdr/>
        <w:spacing w:before="140" w:after="240" w:line="288" w:lineRule="auto"/>
        <w:ind w:left="0" w:right="0"/>
        <w:jc w:val="left"/>
      </w:pPr>
      <w:r>
        <w:rPr>
          <w:rFonts w:ascii="Arial" w:hAnsi="Arial" w:eastAsia="Arial" w:cs="Arial"/>
          <w:color w:val="000000"/>
          <w:sz w:val="20"/>
          <w:szCs w:val="20"/>
        </w:rPr>
        <w:t xml:space="preserve">Einlage und Haftungsbegrenzung werden allerdings durch den
zweiten Halbsatz des ersten Satzes des § 171 Abs 1 UGB
(„die Haftung ist ausgeschlossen, soweit die Einlage geleistet
ist“) miteinander verknüpft:</w:t>
      </w:r>
    </w:p>
    <w:p>
      <w:pPr>
        <w:widowControl w:val="on"/>
        <w:pBdr/>
        <w:spacing w:before="140" w:after="240" w:line="288" w:lineRule="auto"/>
        <w:ind w:left="0" w:right="0"/>
        <w:jc w:val="left"/>
      </w:pPr>
      <w:r>
        <w:rPr>
          <w:rFonts w:ascii="Arial" w:hAnsi="Arial" w:eastAsia="Arial" w:cs="Arial"/>
          <w:color w:val="000000"/>
          <w:sz w:val="20"/>
          <w:szCs w:val="20"/>
        </w:rPr>
        <w:t xml:space="preserve">Wenn etwa</w:t>
      </w:r>
    </w:p>
    <w:p>
      <w:pPr>
        <w:numPr>
          <w:ilvl w:val="0"/>
          <w:numId w:val="2019901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im Firmenbuch eingetragene Haftsumme eines Kommanditisten
EUR 30.000,– beträgt und</w:t>
      </w:r>
    </w:p>
    <w:p>
      <w:pPr>
        <w:numPr>
          <w:ilvl w:val="0"/>
          <w:numId w:val="2019901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Kommanditist bereits EUR 10.000,– als Einlage an die
KG geleistet (zB eine bedungene Einlage von EUR 20.000,– zur
Hälfte einbezahlt) hat,</w:t>
      </w:r>
    </w:p>
    <w:p>
      <w:pPr>
        <w:widowControl w:val="on"/>
        <w:pBdr/>
        <w:spacing w:before="140" w:after="240" w:line="288" w:lineRule="auto"/>
        <w:ind w:left="0" w:right="0"/>
        <w:jc w:val="left"/>
      </w:pPr>
      <w:r>
        <w:rPr>
          <w:rFonts w:ascii="Arial" w:hAnsi="Arial" w:eastAsia="Arial" w:cs="Arial"/>
          <w:color w:val="000000"/>
          <w:sz w:val="20"/>
          <w:szCs w:val="20"/>
        </w:rPr>
        <w:t xml:space="preserve">dann ist die Haftung des Kommanditisten gegenüber
Gesellschaftsgläubigern auf EUR 30.000,00 – EUR 10.000,00
= EUR 20.000,00 beschränkt.</w:t>
      </w:r>
    </w:p>
    <w:p>
      <w:pPr>
        <w:widowControl w:val="on"/>
        <w:pBdr/>
        <w:spacing w:before="140" w:after="240" w:line="288" w:lineRule="auto"/>
        <w:ind w:left="0" w:right="0"/>
        <w:jc w:val="left"/>
      </w:pPr>
      <w:r>
        <w:rPr>
          <w:rFonts w:ascii="Arial" w:hAnsi="Arial" w:eastAsia="Arial" w:cs="Arial"/>
          <w:color w:val="000000"/>
          <w:sz w:val="20"/>
          <w:szCs w:val="20"/>
        </w:rPr>
        <w:t xml:space="preserve">Hinter dieser Regelung steht die Erwägung des Gesetzgebers, dass
ein Kommanditist, der eine Einlage in die KG geleistet hat, bereits
im entsprechenden Umfang den Gläubigern dienlich gewesen ist, da ja
die Gläubiger im Rahmen einer Exekution gegen die KG auf den
nunmehr zum Gesellschaftsvermögen gehörenden Einlagenbetrag greifen
können.</w:t>
      </w:r>
    </w:p>
    <w:p>
      <w:pPr>
        <w:widowControl w:val="on"/>
        <w:pBdr/>
        <w:spacing w:before="140" w:after="240" w:line="288" w:lineRule="auto"/>
        <w:ind w:left="0" w:right="0"/>
        <w:jc w:val="left"/>
      </w:pPr>
      <w:r>
        <w:rPr>
          <w:rFonts w:ascii="Arial" w:hAnsi="Arial" w:eastAsia="Arial" w:cs="Arial"/>
          <w:color w:val="000000"/>
          <w:sz w:val="20"/>
          <w:szCs w:val="20"/>
        </w:rPr>
        <w:t xml:space="preserve">In Korrespondenz mit der genannten Erwägung des Gesetzgebers
sieht § 172 Abs 3 UGB in seinen ersten beiden Sätzen eine
Erweiterung der Haftung im Fall einer Rückzahlung von
Einlagenbeträgen vor:</w:t>
      </w:r>
    </w:p>
    <w:p>
      <w:pPr>
        <w:widowControl w:val="on"/>
        <w:pBdr/>
        <w:spacing w:before="140" w:after="240" w:line="288" w:lineRule="auto"/>
        <w:ind w:left="0" w:right="0"/>
        <w:jc w:val="left"/>
      </w:pPr>
      <w:r>
        <w:rPr>
          <w:rFonts w:ascii="Arial" w:hAnsi="Arial" w:eastAsia="Arial" w:cs="Arial"/>
          <w:color w:val="000000"/>
          <w:sz w:val="20"/>
          <w:szCs w:val="20"/>
        </w:rPr>
        <w:t xml:space="preserve">Soweit die Einlage eines Kommanditisten zurückgezahlt wird, gilt
sie den Gläubigern gegenüber als nicht geleistet. Das Gleiche gilt,
soweit der Kommanditist Gewinnanteile entnimmt, obwohl frühere
Verlustzuweisungen noch nicht durch spätere Gewinne ausgeglichen
wurden.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XXVI. des Vertragsmusters (Auflösung durch ordentliche
Kündigung seitens eines Gesellschafters)</w:t>
      </w:r>
    </w:p>
    <w:p>
      <w:pPr>
        <w:widowControl w:val="on"/>
        <w:pBdr/>
        <w:spacing w:before="140" w:after="240" w:line="288" w:lineRule="auto"/>
        <w:ind w:left="0" w:right="0"/>
        <w:jc w:val="left"/>
      </w:pPr>
      <w:r>
        <w:rPr>
          <w:rFonts w:ascii="Arial" w:hAnsi="Arial" w:eastAsia="Arial" w:cs="Arial"/>
          <w:color w:val="000000"/>
          <w:sz w:val="20"/>
          <w:szCs w:val="20"/>
        </w:rPr>
        <w:t xml:space="preserve">Die gesetzlichen Bestimmungen (§ 132 iVm § 161
Abs 2 UGB) bieten Komplementären und Kommanditisten ein
Ausstiegsszenario:</w:t>
      </w:r>
    </w:p>
    <w:p>
      <w:pPr>
        <w:numPr>
          <w:ilvl w:val="0"/>
          <w:numId w:val="1077445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Kündigung eines Gesellschafters kann, wenn die Gesellschaft
für unbestimmte Zeit eingegangen ist, nur für den Schluss eines
Geschäftsjahrs erfolgen; sie muss mindestens sechs Monate vor
diesem Zeitpunkt stattfinden.</w:t>
      </w:r>
    </w:p>
    <w:p>
      <w:pPr>
        <w:numPr>
          <w:ilvl w:val="0"/>
          <w:numId w:val="1077445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Vereinbarung, durch die das Kündigungsrecht ausgeschlossen
oder in anderer Weise als durch angemessene Verlängerung der
Kündigungsfrist erschwert wird, ist nichtig.</w:t>
      </w:r>
    </w:p>
    <w:p>
      <w:pPr>
        <w:widowControl w:val="on"/>
        <w:pBdr/>
        <w:spacing w:before="140" w:after="240" w:line="288" w:lineRule="auto"/>
        <w:ind w:left="0" w:right="0"/>
        <w:jc w:val="left"/>
      </w:pPr>
      <w:r>
        <w:rPr>
          <w:rFonts w:ascii="Arial" w:hAnsi="Arial" w:eastAsia="Arial" w:cs="Arial"/>
          <w:color w:val="000000"/>
          <w:sz w:val="20"/>
          <w:szCs w:val="20"/>
        </w:rPr>
        <w:t xml:space="preserve">Hier sieht das Gesetz die Möglichkeit einer so genannten
„Auflösungskündigung“ durch den Gesellschafter vor:</w:t>
      </w:r>
    </w:p>
    <w:p>
      <w:pPr>
        <w:widowControl w:val="on"/>
        <w:pBdr/>
        <w:spacing w:before="140" w:after="240" w:line="288" w:lineRule="auto"/>
        <w:ind w:left="0" w:right="0"/>
        <w:jc w:val="left"/>
      </w:pPr>
      <w:r>
        <w:rPr>
          <w:rFonts w:ascii="Arial" w:hAnsi="Arial" w:eastAsia="Arial" w:cs="Arial"/>
          <w:color w:val="000000"/>
          <w:sz w:val="20"/>
          <w:szCs w:val="20"/>
        </w:rPr>
        <w:t xml:space="preserve">Jeder Gesellschafter der KG hat das Recht, durch eine
ordentliche (frist- und termingebundene, aber keinen wichtigen
Grund voraussetzende) Kündigung die Auflösung der Gesellschaft
herbeizuführen (vgl den Auflösungsgrund nach § 131 Z 6,
1. Fall UGB).</w:t>
      </w:r>
    </w:p>
    <w:p>
      <w:pPr>
        <w:widowControl w:val="on"/>
        <w:pBdr/>
        <w:spacing w:before="140" w:after="240" w:line="288" w:lineRule="auto"/>
        <w:ind w:left="0" w:right="0"/>
        <w:jc w:val="left"/>
      </w:pPr>
      <w:r>
        <w:rPr>
          <w:rFonts w:ascii="Arial" w:hAnsi="Arial" w:eastAsia="Arial" w:cs="Arial"/>
          <w:color w:val="000000"/>
          <w:sz w:val="20"/>
          <w:szCs w:val="20"/>
        </w:rPr>
        <w:t xml:space="preserve">Die Kündigungsfrist beträgt sechs Monate, die Kündigung hat
jeweils zum Schluss des Geschäftsjahres zu erfolgen.</w:t>
      </w:r>
    </w:p>
    <w:p>
      <w:pPr>
        <w:widowControl w:val="on"/>
        <w:pBdr/>
        <w:spacing w:before="140" w:after="240" w:line="288" w:lineRule="auto"/>
        <w:ind w:left="0" w:right="0"/>
        <w:jc w:val="left"/>
      </w:pPr>
      <w:r>
        <w:rPr>
          <w:rFonts w:ascii="Arial" w:hAnsi="Arial" w:eastAsia="Arial" w:cs="Arial"/>
          <w:color w:val="000000"/>
          <w:sz w:val="20"/>
          <w:szCs w:val="20"/>
        </w:rPr>
        <w:t xml:space="preserve">Die Kündigung ist an die übrigen Gesellschafter zu richten; eine
Kündigungserklärung gegenüber der Gesellschaft genügt nicht.</w:t>
      </w:r>
    </w:p>
    <w:p>
      <w:pPr>
        <w:widowControl w:val="on"/>
        <w:pBdr/>
        <w:spacing w:before="140" w:after="240" w:line="288" w:lineRule="auto"/>
        <w:ind w:left="0" w:right="0"/>
        <w:jc w:val="left"/>
      </w:pPr>
      <w:r>
        <w:rPr>
          <w:rFonts w:ascii="Arial" w:hAnsi="Arial" w:eastAsia="Arial" w:cs="Arial"/>
          <w:color w:val="000000"/>
          <w:sz w:val="20"/>
          <w:szCs w:val="20"/>
        </w:rPr>
        <w:t xml:space="preserve">Im Fall der Kündigung können die übrigen Gesellschafter einen
Fortsetzungsbeschluss (§ 141 iVm § 161 Abs 2 UGB)
fassen, was die Fortsetzung der Gesellschaft unter Ausscheiden des
kündigenden Gesellschafters zur Folge hat.</w:t>
      </w:r>
    </w:p>
    <w:p>
      <w:pPr>
        <w:widowControl w:val="on"/>
        <w:pBdr/>
        <w:spacing w:before="140" w:after="240" w:line="288" w:lineRule="auto"/>
        <w:ind w:left="0" w:right="0"/>
        <w:jc w:val="left"/>
      </w:pPr>
      <w:r>
        <w:rPr>
          <w:rFonts w:ascii="Arial" w:hAnsi="Arial" w:eastAsia="Arial" w:cs="Arial"/>
          <w:color w:val="000000"/>
          <w:sz w:val="20"/>
          <w:szCs w:val="20"/>
        </w:rPr>
        <w:t xml:space="preserve">Das Kündigungsrecht kann dem Gesellschafter im
Gesellschaftsvertrag nicht entzogen werden, und es ist auch
unmöglich, dieses Recht einzuschränken, es sei denn durch eine
„angemessene“ Verlängerung der Kündigungsfrist (bei der Prüfung, ob
eine vertraglich vereinbarte Fristverlängerung angemessen ist, ist
das rechtliche Interesse des kündigenden Gesellschafters an der
alsbaldigen Auflösung der Gesellschaft [etwa zum Zweck der
Verhinderung des Entstehens neuer Gesellschaftsverbindlichkeiten,
für die der Gesellschafter nach § 128 UGB haften würde] gegen
das Interesse der Gesellschaft bzw der übrigen Gesellschafter an
einer Zeitspanne für die Prüfung der wirtschaftlichen
Sinnhaftigkeit eines Fortsetzungsbeschlusses oder für die
Vorbereitung der Liquidation abzuwägen).</w:t>
      </w:r>
    </w:p>
    <w:p>
      <w:pPr>
        <w:widowControl w:val="on"/>
        <w:pBdr/>
        <w:spacing w:before="140" w:after="240" w:line="288" w:lineRule="auto"/>
        <w:ind w:left="0" w:right="0"/>
        <w:jc w:val="left"/>
      </w:pPr>
      <w:r>
        <w:rPr>
          <w:rFonts w:ascii="Arial" w:hAnsi="Arial" w:eastAsia="Arial" w:cs="Arial"/>
          <w:color w:val="000000"/>
          <w:sz w:val="20"/>
          <w:szCs w:val="20"/>
        </w:rPr>
        <w:t xml:space="preserve">Zwingenden Charakter hat § 132 UGB jedoch nur insoweit, als
dadurch das Recht des Gesellschafters auf zeitnahe Beendigung
seiner Zugehörigkeit zur Gesellschaft gewahrt werden soll; daraus
ergeben sich gesellschaftsvertragliche
Modifikationsmöglichkeiten:</w:t>
      </w:r>
    </w:p>
    <w:p>
      <w:pPr>
        <w:widowControl w:val="on"/>
        <w:pBdr/>
        <w:spacing w:before="140" w:after="240" w:line="288" w:lineRule="auto"/>
        <w:ind w:left="0" w:right="0"/>
        <w:jc w:val="left"/>
      </w:pPr>
      <w:r>
        <w:rPr>
          <w:rFonts w:ascii="Arial" w:hAnsi="Arial" w:eastAsia="Arial" w:cs="Arial"/>
          <w:color w:val="000000"/>
          <w:sz w:val="20"/>
          <w:szCs w:val="20"/>
        </w:rPr>
        <w:t xml:space="preserve">Es steht den Gesellschaftern frei, im Gesellschaftsvertrag eine
Erleichterung der Kündigung durch einen Gesellschafter vorzusehen,
etwa durch eine Verkürzung der Kündigungsfrist.</w:t>
      </w:r>
    </w:p>
    <w:p>
      <w:pPr>
        <w:numPr>
          <w:ilvl w:val="0"/>
          <w:numId w:val="5267143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kann – gewissermaßen als eine Vorziehung des
Fortsetzungsbeschlusses in den Gesellschaftsvertrag – anstelle der
gesetzlichen Auflösungskündigung eine Austrittskündigung vereinbart
werden, also ein Gestaltungsrecht des Gesellschafters, durch dessen
Ausübung
</w:t>
      </w:r>
    </w:p>
    <w:p>
      <w:pPr>
        <w:numPr>
          <w:ilvl w:val="1"/>
          <w:numId w:val="5267143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betreffende Gesellschafter per Kündigungstermin aus der
Gesellschaft ausscheidet und</w:t>
      </w:r>
    </w:p>
    <w:p>
      <w:pPr>
        <w:numPr>
          <w:ilvl w:val="1"/>
          <w:numId w:val="5267143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Gesellschaft unter den übrigen Gesellschaftern fortgesetzt
wird.</w:t>
      </w:r>
    </w:p>
    <w:p>
      <w:pPr>
        <w:widowControl w:val="on"/>
        <w:pBdr/>
        <w:spacing w:before="140" w:after="240" w:line="288" w:lineRule="auto"/>
        <w:ind w:left="0" w:right="0"/>
        <w:jc w:val="left"/>
      </w:pPr>
      <w:r>
        <w:rPr>
          <w:rFonts w:ascii="Arial" w:hAnsi="Arial" w:eastAsia="Arial" w:cs="Arial"/>
          <w:color w:val="000000"/>
          <w:sz w:val="20"/>
          <w:szCs w:val="20"/>
        </w:rPr>
        <w:t xml:space="preserve">Kommt es, etwa durch einen Fortsetzungsbeschluss der übrigen
Gesellschafter oder durch eine gesellschaftsvertraglich vorgesehene
Austrittskündigung, zum Ausscheiden eines Gesellschafters, so
findet man in § 137 iVm § 161 Abs 2 UGB Regeln für
die Auseinandersetzung mit dem Letztgenannten:</w:t>
      </w:r>
    </w:p>
    <w:p>
      <w:pPr>
        <w:numPr>
          <w:ilvl w:val="0"/>
          <w:numId w:val="34731698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ausscheidenden Gesellschafter sind die Gegenstände, die er
der Gesellschaft zur Benutzung überlassen hat, zurückzugeben. Für
einen durch Zufall abhanden gekommenen oder verschlechterten
Gegenstand kann er keinen Ersatz verlangen.</w:t>
      </w:r>
    </w:p>
    <w:p>
      <w:pPr>
        <w:numPr>
          <w:ilvl w:val="0"/>
          <w:numId w:val="34731698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ausscheidenden Gesellschafter ist in Geld auszuzahlen, was
er bei der Auseinandersetzung erhielte, wenn die Gesellschaft zur
Zeit seines Ausscheidens aufgelöst worden wäre. Der Wert des
Gesellschaftsvermögens ist, soweit erforderlich, durch Schätzung zu
ermitteln.</w:t>
      </w:r>
    </w:p>
    <w:p>
      <w:pPr>
        <w:numPr>
          <w:ilvl w:val="0"/>
          <w:numId w:val="34731698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ausscheidende Gesellschafter ist von den
Gesellschaftsschulden zu befreien, für die er den Gläubigern
haftet. Ist eine Schuld noch nicht fällig, so kann ihm die
Gesellschaft Sicherheit leisten statt ihn zu befreien.</w:t>
      </w:r>
    </w:p>
    <w:p>
      <w:pPr>
        <w:numPr>
          <w:ilvl w:val="0"/>
          <w:numId w:val="34731698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Verbleibt dem ausscheidenden Gesellschafter eine
Verbindlichkeit aus dem Gesellschaftsverhältnis, so ist er
verpflichtet, einen Ausgleich in entsprechender Höhe an die
Gesellschaft zu zahlen.</w:t>
      </w:r>
    </w:p>
    <w:p>
      <w:pPr>
        <w:widowControl w:val="on"/>
        <w:pBdr/>
        <w:spacing w:before="140" w:after="240" w:line="288" w:lineRule="auto"/>
        <w:ind w:left="0" w:right="0"/>
        <w:jc w:val="left"/>
      </w:pPr>
      <w:r>
        <w:rPr>
          <w:rFonts w:ascii="Arial" w:hAnsi="Arial" w:eastAsia="Arial" w:cs="Arial"/>
          <w:color w:val="000000"/>
          <w:sz w:val="20"/>
          <w:szCs w:val="20"/>
        </w:rPr>
        <w:t xml:space="preserve">Absatz 1 der zitierten Norm zielt auf den Fall, dass der
betreffende Gesellschafter der Gesellschaft ihm gehörende
Gegenstände (zB einen Lieferwagen) zur Benutzung überlassen hat
(quoad usum, vgl 2.9.). Vorgesehen wird die Rückgabe dieser
Gegenstände, wobei der zufällige Untergang bzw die zufällige
Verschlechterung eines Gegenstandes den Gesellschafter trifft.</w:t>
      </w:r>
    </w:p>
    <w:p>
      <w:pPr>
        <w:widowControl w:val="on"/>
        <w:pBdr/>
        <w:spacing w:before="140" w:after="240" w:line="288" w:lineRule="auto"/>
        <w:ind w:left="0" w:right="0"/>
        <w:jc w:val="left"/>
      </w:pPr>
      <w:r>
        <w:rPr>
          <w:rFonts w:ascii="Arial" w:hAnsi="Arial" w:eastAsia="Arial" w:cs="Arial"/>
          <w:color w:val="000000"/>
          <w:sz w:val="20"/>
          <w:szCs w:val="20"/>
        </w:rPr>
        <w:t xml:space="preserve">Absatz 2 bezieht sich auf das Auseinandersetzungsguthaben. Die
Bestimmung legt fest, dass der ausscheidende Gesellschafter einen
Geldbetrag erhalten soll, der den Wert des vom Gesellschafter durch
sein Ausscheiden aufgegebenen Anteils an der Gesellschaft
reflektiert. Das Gesetz stellt dabei auf das hypothetische
Liquidationsergebnis im Falle einer zum Zeitpunkt des Ausscheidens
erfolgenden Auflösung der Gesellschaft ab.</w:t>
      </w:r>
    </w:p>
    <w:p>
      <w:pPr>
        <w:widowControl w:val="on"/>
        <w:pBdr/>
        <w:spacing w:before="140" w:after="240" w:line="288" w:lineRule="auto"/>
        <w:ind w:left="0" w:right="0"/>
        <w:jc w:val="left"/>
      </w:pPr>
      <w:r>
        <w:rPr>
          <w:rFonts w:ascii="Arial" w:hAnsi="Arial" w:eastAsia="Arial" w:cs="Arial"/>
          <w:color w:val="000000"/>
          <w:sz w:val="20"/>
          <w:szCs w:val="20"/>
        </w:rPr>
        <w:t xml:space="preserve">Da die Norm nicht zwingend ist, kann im Gesellschaftsvertrag ein
anderer Modus für die Berechnung des Auseinandersetzungsguthabens
festgelegt werden; eine solche Festlegung ist auch sinnvoll, da der
Wert des lebenden, von den übrigen Gesellschaftern weitergeführten
Unternehmens kaum mit dem Liquidationswert identisch sein dürfte
(im Gesellschaftsvertrag bestimmt werden sollte überdies ein
Zahlungsmodus, der den mit der Leistung des
Auseinandersetzungsguthabens verbundenen Zahlungsmittelabfluss über
einen so langen Zeitraum verteilt, dass die Gesellschaft nicht
infolge eines Liquiditätsengpasses in wirtschaftliche
Schwierigkeiten gerät).</w:t>
      </w:r>
    </w:p>
    <w:p>
      <w:pPr>
        <w:widowControl w:val="on"/>
        <w:pBdr/>
        <w:spacing w:before="140" w:after="240" w:line="288" w:lineRule="auto"/>
        <w:ind w:left="0" w:right="0"/>
        <w:jc w:val="left"/>
      </w:pPr>
      <w:r>
        <w:rPr>
          <w:rFonts w:ascii="Arial" w:hAnsi="Arial" w:eastAsia="Arial" w:cs="Arial"/>
          <w:color w:val="000000"/>
          <w:sz w:val="20"/>
          <w:szCs w:val="20"/>
        </w:rPr>
        <w:t xml:space="preserve">Absatz 3 scheint prima vista in einem Widerspruch zu den
Haftungsbestimmungen der §§ 128, 129 und 160 UGB zu stehen:
Wie soll die Gesellschaft bzw wie sollen die übrigen Gesellschafter
den ausscheidenden Gesellschafter von den Gesellschaftsschulden
befreien, wenn gegenüber den Gesellschaftsgläubigern eine zwingende
persönliche Nachhaftung dieses ausscheidenden Gesellschafters
besteht?</w:t>
      </w:r>
    </w:p>
    <w:p>
      <w:pPr>
        <w:widowControl w:val="on"/>
        <w:pBdr/>
        <w:spacing w:before="140" w:after="240" w:line="288" w:lineRule="auto"/>
        <w:ind w:left="0" w:right="0"/>
        <w:jc w:val="left"/>
      </w:pPr>
      <w:r>
        <w:rPr>
          <w:rFonts w:ascii="Arial" w:hAnsi="Arial" w:eastAsia="Arial" w:cs="Arial"/>
          <w:color w:val="000000"/>
          <w:sz w:val="20"/>
          <w:szCs w:val="20"/>
        </w:rPr>
        <w:t xml:space="preserve">Die hier behandelte Gesetzesbestimmung versteht unter der
„Befreiung“ des ausscheidenden Gesellschafters von
Gesellschaftsverbindlichkeiten, dass die beim Ausscheiden
bestehenden Verbindlichkeiten grundsätzlich von der Gesellschaft
durch Bezahlung zum Erlöschen gebracht werden sollen (dies ergibt
sich aus der Anordnung, dass im Falle von noch nicht fälligen
Verbindlichkeiten Sicherheit zu leisten ist); gleichwertig wäre
wohl auch eine zwischen der Gesellschaft und dem betreffenden
Gläubiger geschlossene Vereinbarung, nach welcher dieser darauf
verzichtet, auf den ausscheidenden Gesellschafter zu greifen.</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des Absatzes 4 des § 137 UGB ist festzuhalten,
dass diese Bestimmung gem § 169 UGB auf einen
Kommanditisten – soweit dieser seine bedungene Einlage geleistet
hat – keine Anwendung findet; dadurch wird dem Gedanken Rechnung
getragen, dass ein Kommanditist nicht mehr als den allfälligen
Verlust seiner Einlage hinzunehmen hat.</w:t>
      </w:r>
    </w:p>
    <w:p>
      <w:pPr>
        <w:widowControl w:val="on"/>
        <w:pBdr/>
        <w:spacing w:before="140" w:after="240" w:line="288" w:lineRule="auto"/>
        <w:ind w:left="0" w:right="0"/>
        <w:jc w:val="left"/>
      </w:pPr>
      <w:r>
        <w:rPr>
          <w:rFonts w:ascii="Arial" w:hAnsi="Arial" w:eastAsia="Arial" w:cs="Arial"/>
          <w:color w:val="000000"/>
          <w:sz w:val="20"/>
          <w:szCs w:val="20"/>
        </w:rPr>
        <w:t xml:space="preserve">Ausdrücklich bemerkt sei, dass in einem Gesellschaftsvertrag
auch die Möglichkeit der „Austrittskündigung“ eines Gesellschafters
vereinbart werden kann. In diesem Fall bewirkt die Kündigung nicht,
dass zum Kündigungstermin die Gesellschaft aufgelöst wird, sondern
lediglich, dass der kündigende Gesellschafter zum genannten
Zeitpunkt aus der Gesellschaft ausscheidet. Diese Form der
Kündigung ist dann sinnvoll, wenn einzelne Gesellschafter
„ersetzbar“ sind und ihr Ausscheiden daher die Gesellschaft nicht
in ihren Grundlagen trifft.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731698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26714391">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77445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0199012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2630124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9945289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7557089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4859908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290178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270893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262864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0309356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40382280">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3320367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768149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425939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9140509">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8194588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928834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6265276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966513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3311872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8721309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9526207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4340327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3913734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5864151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7007137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0364915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0745909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0639418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5788331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0555550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4103742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195701">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262881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9862778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1734374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8720196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4114741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0510906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52243462">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2603243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27172724">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3935900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647274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916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3438807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9917066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334804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2971958">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6638773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234653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5069622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762378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371169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3418023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9828803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27176445">
    <w:multiLevelType w:val="hybridMultilevel"/>
    <w:lvl w:ilvl="0">
      <w:start w:val="1"/>
      <w:numFmt w:val="upperRoman"/>
      <w:lvlText w:val="%1."/>
      <w:lvlJc w:val="left"/>
      <w:pPr>
        <w:ind w:left="720" w:hanging="360"/>
      </w:pPr>
      <w:rPr/>
    </w:lvl>
    <w:lvl w:ilvl="1">
      <w:start w:val=""/>
      <w:numFmt w:val="upperRoman"/>
      <w:lvlText w:val="%2."/>
      <w:lvlJc w:val="left"/>
      <w:pPr>
        <w:ind w:left="1440" w:hanging="360"/>
      </w:pPr>
      <w:rPr/>
    </w:lvl>
    <w:lvl w:ilvl="2">
      <w:start w:val=""/>
      <w:numFmt w:val="upperRoman"/>
      <w:lvlText w:val="%3."/>
      <w:lvlJc w:val="left"/>
      <w:pPr>
        <w:ind w:left="2160" w:hanging="360"/>
      </w:pPr>
      <w:rPr/>
    </w:lvl>
    <w:lvl w:ilvl="3">
      <w:start w:val=""/>
      <w:numFmt w:val="upperRoman"/>
      <w:lvlText w:val="%4."/>
      <w:lvlJc w:val="left"/>
      <w:pPr>
        <w:ind w:left="2880" w:hanging="360"/>
      </w:pPr>
      <w:rPr/>
    </w:lvl>
    <w:lvl w:ilvl="4">
      <w:start w:val=""/>
      <w:numFmt w:val="upperRoman"/>
      <w:lvlText w:val="%5."/>
      <w:lvlJc w:val="left"/>
      <w:pPr>
        <w:ind w:left="3600" w:hanging="360"/>
      </w:pPr>
      <w:rPr/>
    </w:lvl>
    <w:lvl w:ilvl="5">
      <w:start w:val=""/>
      <w:numFmt w:val="upperRoman"/>
      <w:lvlText w:val="%6."/>
      <w:lvlJc w:val="left"/>
      <w:pPr>
        <w:ind w:left="4320" w:hanging="360"/>
      </w:pPr>
      <w:rPr/>
    </w:lvl>
    <w:lvl w:ilvl="6">
      <w:start w:val=""/>
      <w:numFmt w:val="upperRoman"/>
      <w:lvlText w:val="%7."/>
      <w:lvlJc w:val="left"/>
      <w:pPr>
        <w:ind w:left="5040" w:hanging="360"/>
      </w:pPr>
      <w:rPr/>
    </w:lvl>
    <w:lvl w:ilvl="7">
      <w:start w:val=""/>
      <w:numFmt w:val="upperRoman"/>
      <w:lvlText w:val="%8."/>
      <w:lvlJc w:val="left"/>
      <w:pPr>
        <w:ind w:left="5760" w:hanging="360"/>
      </w:pPr>
      <w:rPr/>
    </w:lvl>
    <w:lvl w:ilvl="8">
      <w:start w:val=""/>
      <w:numFmt w:val="upperRoman"/>
      <w:lvlText w:val="%9."/>
      <w:lvlJc w:val="left"/>
      <w:pPr>
        <w:ind w:left="6480" w:hanging="360"/>
      </w:pPr>
      <w:rPr/>
    </w:lvl>
  </w:abstractNum>
  <w:abstractNum w:abstractNumId="84752658">
    <w:multiLevelType w:val="hybridMultilevel"/>
    <w:lvl w:ilvl="0" w:tplc="42990263">
      <w:start w:val="1"/>
      <w:numFmt w:val="decimal"/>
      <w:lvlText w:val="%1."/>
      <w:lvlJc w:val="left"/>
      <w:pPr>
        <w:ind w:left="720" w:hanging="360"/>
      </w:pPr>
    </w:lvl>
    <w:lvl w:ilvl="1" w:tplc="42990263" w:tentative="1">
      <w:start w:val="1"/>
      <w:numFmt w:val="lowerLetter"/>
      <w:lvlText w:val="%2."/>
      <w:lvlJc w:val="left"/>
      <w:pPr>
        <w:ind w:left="1440" w:hanging="360"/>
      </w:pPr>
    </w:lvl>
    <w:lvl w:ilvl="2" w:tplc="42990263" w:tentative="1">
      <w:start w:val="1"/>
      <w:numFmt w:val="lowerRoman"/>
      <w:lvlText w:val="%3."/>
      <w:lvlJc w:val="right"/>
      <w:pPr>
        <w:ind w:left="2160" w:hanging="180"/>
      </w:pPr>
    </w:lvl>
    <w:lvl w:ilvl="3" w:tplc="42990263" w:tentative="1">
      <w:start w:val="1"/>
      <w:numFmt w:val="decimal"/>
      <w:lvlText w:val="%4."/>
      <w:lvlJc w:val="left"/>
      <w:pPr>
        <w:ind w:left="2880" w:hanging="360"/>
      </w:pPr>
    </w:lvl>
    <w:lvl w:ilvl="4" w:tplc="42990263" w:tentative="1">
      <w:start w:val="1"/>
      <w:numFmt w:val="lowerLetter"/>
      <w:lvlText w:val="%5."/>
      <w:lvlJc w:val="left"/>
      <w:pPr>
        <w:ind w:left="3600" w:hanging="360"/>
      </w:pPr>
    </w:lvl>
    <w:lvl w:ilvl="5" w:tplc="42990263" w:tentative="1">
      <w:start w:val="1"/>
      <w:numFmt w:val="lowerRoman"/>
      <w:lvlText w:val="%6."/>
      <w:lvlJc w:val="right"/>
      <w:pPr>
        <w:ind w:left="4320" w:hanging="180"/>
      </w:pPr>
    </w:lvl>
    <w:lvl w:ilvl="6" w:tplc="42990263" w:tentative="1">
      <w:start w:val="1"/>
      <w:numFmt w:val="decimal"/>
      <w:lvlText w:val="%7."/>
      <w:lvlJc w:val="left"/>
      <w:pPr>
        <w:ind w:left="5040" w:hanging="360"/>
      </w:pPr>
    </w:lvl>
    <w:lvl w:ilvl="7" w:tplc="42990263" w:tentative="1">
      <w:start w:val="1"/>
      <w:numFmt w:val="lowerLetter"/>
      <w:lvlText w:val="%8."/>
      <w:lvlJc w:val="left"/>
      <w:pPr>
        <w:ind w:left="5760" w:hanging="360"/>
      </w:pPr>
    </w:lvl>
    <w:lvl w:ilvl="8" w:tplc="42990263" w:tentative="1">
      <w:start w:val="1"/>
      <w:numFmt w:val="lowerRoman"/>
      <w:lvlText w:val="%9."/>
      <w:lvlJc w:val="right"/>
      <w:pPr>
        <w:ind w:left="6480" w:hanging="180"/>
      </w:pPr>
    </w:lvl>
  </w:abstractNum>
  <w:abstractNum w:abstractNumId="135292206">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6918046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3128569">
    <w:multiLevelType w:val="hybridMultilevel"/>
    <w:lvl w:ilvl="0">
      <w:start w:val="1"/>
      <w:numFmt w:val="upperRoman"/>
      <w:lvlText w:val="%1."/>
      <w:lvlJc w:val="left"/>
      <w:pPr>
        <w:ind w:left="720" w:hanging="360"/>
      </w:pPr>
      <w:rPr/>
    </w:lvl>
    <w:lvl w:ilvl="1">
      <w:start w:val=""/>
      <w:numFmt w:val="upperRoman"/>
      <w:lvlText w:val="%2."/>
      <w:lvlJc w:val="left"/>
      <w:pPr>
        <w:ind w:left="1440" w:hanging="360"/>
      </w:pPr>
      <w:rPr/>
    </w:lvl>
    <w:lvl w:ilvl="2">
      <w:start w:val=""/>
      <w:numFmt w:val="upperRoman"/>
      <w:lvlText w:val="%3."/>
      <w:lvlJc w:val="left"/>
      <w:pPr>
        <w:ind w:left="2160" w:hanging="360"/>
      </w:pPr>
      <w:rPr/>
    </w:lvl>
    <w:lvl w:ilvl="3">
      <w:start w:val=""/>
      <w:numFmt w:val="upperRoman"/>
      <w:lvlText w:val="%4."/>
      <w:lvlJc w:val="left"/>
      <w:pPr>
        <w:ind w:left="2880" w:hanging="360"/>
      </w:pPr>
      <w:rPr/>
    </w:lvl>
    <w:lvl w:ilvl="4">
      <w:start w:val=""/>
      <w:numFmt w:val="upperRoman"/>
      <w:lvlText w:val="%5."/>
      <w:lvlJc w:val="left"/>
      <w:pPr>
        <w:ind w:left="3600" w:hanging="360"/>
      </w:pPr>
      <w:rPr/>
    </w:lvl>
    <w:lvl w:ilvl="5">
      <w:start w:val=""/>
      <w:numFmt w:val="upperRoman"/>
      <w:lvlText w:val="%6."/>
      <w:lvlJc w:val="left"/>
      <w:pPr>
        <w:ind w:left="4320" w:hanging="360"/>
      </w:pPr>
      <w:rPr/>
    </w:lvl>
    <w:lvl w:ilvl="6">
      <w:start w:val=""/>
      <w:numFmt w:val="upperRoman"/>
      <w:lvlText w:val="%7."/>
      <w:lvlJc w:val="left"/>
      <w:pPr>
        <w:ind w:left="5040" w:hanging="360"/>
      </w:pPr>
      <w:rPr/>
    </w:lvl>
    <w:lvl w:ilvl="7">
      <w:start w:val=""/>
      <w:numFmt w:val="upperRoman"/>
      <w:lvlText w:val="%8."/>
      <w:lvlJc w:val="left"/>
      <w:pPr>
        <w:ind w:left="5760" w:hanging="360"/>
      </w:pPr>
      <w:rPr/>
    </w:lvl>
    <w:lvl w:ilvl="8">
      <w:start w:val=""/>
      <w:numFmt w:val="upperRoman"/>
      <w:lvlText w:val="%9."/>
      <w:lvlJc w:val="left"/>
      <w:pPr>
        <w:ind w:left="6480" w:hanging="360"/>
      </w:pPr>
      <w:rPr/>
    </w:lvl>
  </w:abstractNum>
  <w:abstractNum w:abstractNumId="84752657">
    <w:multiLevelType w:val="hybridMultilevel"/>
    <w:lvl w:ilvl="0" w:tplc="15938493">
      <w:start w:val="1"/>
      <w:numFmt w:val="decimal"/>
      <w:lvlText w:val="%1."/>
      <w:lvlJc w:val="left"/>
      <w:pPr>
        <w:ind w:left="720" w:hanging="360"/>
      </w:pPr>
    </w:lvl>
    <w:lvl w:ilvl="1" w:tplc="15938493" w:tentative="1">
      <w:start w:val="1"/>
      <w:numFmt w:val="lowerLetter"/>
      <w:lvlText w:val="%2."/>
      <w:lvlJc w:val="left"/>
      <w:pPr>
        <w:ind w:left="1440" w:hanging="360"/>
      </w:pPr>
    </w:lvl>
    <w:lvl w:ilvl="2" w:tplc="15938493" w:tentative="1">
      <w:start w:val="1"/>
      <w:numFmt w:val="lowerRoman"/>
      <w:lvlText w:val="%3."/>
      <w:lvlJc w:val="right"/>
      <w:pPr>
        <w:ind w:left="2160" w:hanging="180"/>
      </w:pPr>
    </w:lvl>
    <w:lvl w:ilvl="3" w:tplc="15938493" w:tentative="1">
      <w:start w:val="1"/>
      <w:numFmt w:val="decimal"/>
      <w:lvlText w:val="%4."/>
      <w:lvlJc w:val="left"/>
      <w:pPr>
        <w:ind w:left="2880" w:hanging="360"/>
      </w:pPr>
    </w:lvl>
    <w:lvl w:ilvl="4" w:tplc="15938493" w:tentative="1">
      <w:start w:val="1"/>
      <w:numFmt w:val="lowerLetter"/>
      <w:lvlText w:val="%5."/>
      <w:lvlJc w:val="left"/>
      <w:pPr>
        <w:ind w:left="3600" w:hanging="360"/>
      </w:pPr>
    </w:lvl>
    <w:lvl w:ilvl="5" w:tplc="15938493" w:tentative="1">
      <w:start w:val="1"/>
      <w:numFmt w:val="lowerRoman"/>
      <w:lvlText w:val="%6."/>
      <w:lvlJc w:val="right"/>
      <w:pPr>
        <w:ind w:left="4320" w:hanging="180"/>
      </w:pPr>
    </w:lvl>
    <w:lvl w:ilvl="6" w:tplc="15938493" w:tentative="1">
      <w:start w:val="1"/>
      <w:numFmt w:val="decimal"/>
      <w:lvlText w:val="%7."/>
      <w:lvlJc w:val="left"/>
      <w:pPr>
        <w:ind w:left="5040" w:hanging="360"/>
      </w:pPr>
    </w:lvl>
    <w:lvl w:ilvl="7" w:tplc="15938493" w:tentative="1">
      <w:start w:val="1"/>
      <w:numFmt w:val="lowerLetter"/>
      <w:lvlText w:val="%8."/>
      <w:lvlJc w:val="left"/>
      <w:pPr>
        <w:ind w:left="5760" w:hanging="360"/>
      </w:pPr>
    </w:lvl>
    <w:lvl w:ilvl="8" w:tplc="15938493" w:tentative="1">
      <w:start w:val="1"/>
      <w:numFmt w:val="lowerRoman"/>
      <w:lvlText w:val="%9."/>
      <w:lvlJc w:val="right"/>
      <w:pPr>
        <w:ind w:left="6480" w:hanging="180"/>
      </w:pPr>
    </w:lvl>
  </w:abstractNum>
  <w:abstractNum w:abstractNumId="84752656">
    <w:multiLevelType w:val="hybridMultilevel"/>
    <w:lvl w:ilvl="0" w:tplc="507263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752656">
    <w:abstractNumId w:val="84752656"/>
  </w:num>
  <w:num w:numId="84752657">
    <w:abstractNumId w:val="84752657"/>
  </w:num>
  <w:num w:numId="103128569">
    <w:abstractNumId w:val="103128569"/>
  </w:num>
  <w:num w:numId="369180460">
    <w:abstractNumId w:val="369180460"/>
  </w:num>
  <w:num w:numId="135292206">
    <w:abstractNumId w:val="135292206"/>
  </w:num>
  <w:num w:numId="84752658">
    <w:abstractNumId w:val="84752658"/>
  </w:num>
  <w:num w:numId="627176445">
    <w:abstractNumId w:val="627176445"/>
  </w:num>
  <w:num w:numId="998288035">
    <w:abstractNumId w:val="998288035"/>
  </w:num>
  <w:num w:numId="134180237">
    <w:abstractNumId w:val="134180237"/>
  </w:num>
  <w:num w:numId="263711691">
    <w:abstractNumId w:val="263711691"/>
  </w:num>
  <w:num w:numId="97623780">
    <w:abstractNumId w:val="97623780"/>
  </w:num>
  <w:num w:numId="650696222">
    <w:abstractNumId w:val="650696222"/>
  </w:num>
  <w:num w:numId="12346530">
    <w:abstractNumId w:val="12346530"/>
  </w:num>
  <w:num w:numId="866387736">
    <w:abstractNumId w:val="866387736"/>
  </w:num>
  <w:num w:numId="92971958">
    <w:abstractNumId w:val="92971958"/>
  </w:num>
  <w:num w:numId="263348049">
    <w:abstractNumId w:val="263348049"/>
  </w:num>
  <w:num w:numId="399170668">
    <w:abstractNumId w:val="399170668"/>
  </w:num>
  <w:num w:numId="434388071">
    <w:abstractNumId w:val="434388071"/>
  </w:num>
  <w:num w:numId="889166">
    <w:abstractNumId w:val="889166"/>
  </w:num>
  <w:num w:numId="476472747">
    <w:abstractNumId w:val="476472747"/>
  </w:num>
  <w:num w:numId="439359001">
    <w:abstractNumId w:val="439359001"/>
  </w:num>
  <w:num w:numId="227172724">
    <w:abstractNumId w:val="227172724"/>
  </w:num>
  <w:num w:numId="326032433">
    <w:abstractNumId w:val="326032433"/>
  </w:num>
  <w:num w:numId="652243462">
    <w:abstractNumId w:val="652243462"/>
  </w:num>
  <w:num w:numId="405109069">
    <w:abstractNumId w:val="405109069"/>
  </w:num>
  <w:num w:numId="441147418">
    <w:abstractNumId w:val="441147418"/>
  </w:num>
  <w:num w:numId="287201961">
    <w:abstractNumId w:val="287201961"/>
  </w:num>
  <w:num w:numId="117343744">
    <w:abstractNumId w:val="117343744"/>
  </w:num>
  <w:num w:numId="998627784">
    <w:abstractNumId w:val="998627784"/>
  </w:num>
  <w:num w:numId="92628810">
    <w:abstractNumId w:val="92628810"/>
  </w:num>
  <w:num w:numId="4195701">
    <w:abstractNumId w:val="4195701"/>
  </w:num>
  <w:num w:numId="341037422">
    <w:abstractNumId w:val="341037422"/>
  </w:num>
  <w:num w:numId="505555500">
    <w:abstractNumId w:val="505555500"/>
  </w:num>
  <w:num w:numId="857883311">
    <w:abstractNumId w:val="857883311"/>
  </w:num>
  <w:num w:numId="306394186">
    <w:abstractNumId w:val="306394186"/>
  </w:num>
  <w:num w:numId="707459096">
    <w:abstractNumId w:val="707459096"/>
  </w:num>
  <w:num w:numId="903649151">
    <w:abstractNumId w:val="903649151"/>
  </w:num>
  <w:num w:numId="670071377">
    <w:abstractNumId w:val="670071377"/>
  </w:num>
  <w:num w:numId="558641518">
    <w:abstractNumId w:val="558641518"/>
  </w:num>
  <w:num w:numId="739137349">
    <w:abstractNumId w:val="739137349"/>
  </w:num>
  <w:num w:numId="743403273">
    <w:abstractNumId w:val="743403273"/>
  </w:num>
  <w:num w:numId="195262073">
    <w:abstractNumId w:val="195262073"/>
  </w:num>
  <w:num w:numId="387213094">
    <w:abstractNumId w:val="387213094"/>
  </w:num>
  <w:num w:numId="833118728">
    <w:abstractNumId w:val="833118728"/>
  </w:num>
  <w:num w:numId="889665134">
    <w:abstractNumId w:val="889665134"/>
  </w:num>
  <w:num w:numId="962652761">
    <w:abstractNumId w:val="962652761"/>
  </w:num>
  <w:num w:numId="99288340">
    <w:abstractNumId w:val="99288340"/>
  </w:num>
  <w:num w:numId="981945888">
    <w:abstractNumId w:val="981945888"/>
  </w:num>
  <w:num w:numId="99140509">
    <w:abstractNumId w:val="99140509"/>
  </w:num>
  <w:num w:numId="474259398">
    <w:abstractNumId w:val="474259398"/>
  </w:num>
  <w:num w:numId="17681497">
    <w:abstractNumId w:val="17681497"/>
  </w:num>
  <w:num w:numId="133203679">
    <w:abstractNumId w:val="133203679"/>
  </w:num>
  <w:num w:numId="840382280">
    <w:abstractNumId w:val="840382280"/>
  </w:num>
  <w:num w:numId="503093567">
    <w:abstractNumId w:val="503093567"/>
  </w:num>
  <w:num w:numId="472628646">
    <w:abstractNumId w:val="472628646"/>
  </w:num>
  <w:num w:numId="262708937">
    <w:abstractNumId w:val="262708937"/>
  </w:num>
  <w:num w:numId="62901781">
    <w:abstractNumId w:val="62901781"/>
  </w:num>
  <w:num w:numId="548599087">
    <w:abstractNumId w:val="548599087"/>
  </w:num>
  <w:num w:numId="275570890">
    <w:abstractNumId w:val="275570890"/>
  </w:num>
  <w:num w:numId="999452890">
    <w:abstractNumId w:val="999452890"/>
  </w:num>
  <w:num w:numId="326301245">
    <w:abstractNumId w:val="326301245"/>
  </w:num>
  <w:num w:numId="201990123">
    <w:abstractNumId w:val="201990123"/>
  </w:num>
  <w:num w:numId="10774455">
    <w:abstractNumId w:val="10774455"/>
  </w:num>
  <w:num w:numId="526714391">
    <w:abstractNumId w:val="526714391"/>
  </w:num>
  <w:num w:numId="347316988">
    <w:abstractNumId w:val="3473169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80957731" Type="http://schemas.openxmlformats.org/officeDocument/2006/relationships/numbering" Target="numbering.xml"/><Relationship Id="rId50746860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