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781268" w:name="document"/>
    <w:bookmarkEnd w:id="79781268"/>
    <w:p/>
    <w:p>
      <w:pPr>
        <w:widowControl w:val="on"/>
        <w:pBdr/>
        <w:spacing w:before="0" w:after="280" w:line="240" w:lineRule="auto"/>
        <w:ind w:left="0" w:right="0"/>
        <w:jc w:val="left"/>
      </w:pPr>
      <w:r>
        <w:rPr>
          <w:rFonts w:ascii="Arial" w:hAnsi="Arial" w:eastAsia="Arial" w:cs="Arial"/>
          <w:color w:val="363A40"/>
          <w:sz w:val="24"/>
          <w:szCs w:val="24"/>
        </w:rPr>
        <w:t xml:space="preserve">Dokument-ID: 342089 | Georg Prchlik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einer KG mit Einbringung eines
Unternehmens als Einlage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Gesellschaftsvertrag der Firma „Alfred Anis &amp; Co
Restaurant- und Konditoreibetriebs KG“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Inhaltsverzeichnis</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Präambel/Vertragsparteien</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Errichtung der Gesellschaft/Firma</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Sitz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Gegenstand des Unternehmens</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Entstehung der Gesellschaft/Haftung für Handlungen vor der
Entstehung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Geschäftsjahr</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Einlagen/Kapitalanteile</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Geschäftsführung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Ausübung der Geschäftsführung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Entziehung der Geschäftsführungsbefugnis</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der Geschäftsführung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Beschlussfassung der Gesellschafter</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Wettbewerbsverbot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Kontrollrechte der Gesellschafter</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Bestimmung von Gewinn und Verlust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Verteilung von Gewinn und Verlust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Gewinnauszahlung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Gewinnunabhängiges
Entnahmerecht/Aufwendungsersatz/Herausgabepflicht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Entziehung der Vertretungsmacht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Haftung der Gesellschafter für Verbindlichkeiten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Austrittskündigung des Gesellschafters</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Übertragung von Geschäftsanteilen</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ordentliche Kündigung seitens eines
Gesellschafters</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gerichtliche Entscheidung</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Liquidation der Gesellschaft</w:t>
      </w:r>
    </w:p>
    <w:p>
      <w:pPr>
        <w:numPr>
          <w:ilvl w:val="0"/>
          <w:numId w:val="6110306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 Bestimmungen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Präambel/Vertragsparteien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Herr Alfred Anis Inhaber einer
Gewerbeberechtigung für das reglementierte Gewerbe „Gastgewerbe“
gem § 94 Z 28 der Gewerbeordnung ist und das
Gastronomielokal „Zum goldenen Kochlöffel“, etabliert in
Schmorgasse 1, 1010 Wien, betreibt.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Herr Sigfried Süßer Inhaber
einer Gewerbeberechtigung für das reglementierte Gewerbe
„Konditoren (Zuckerbäcker) einschließlich der Lebzelter und der
Konditen-, Gefrorenes- und Schokoladenwarenerzeugung (Handwerk)“
gem § 94 Z 40 der Gewerbeordnung ist und die
Konditorei „Zum süßen Sigfried“, etabliert in 1020 Wien,
Zuckerbäckerstraße 2, betreibt.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schließlich, dass Herr Harald Haube die
Hotelfachschule absolviert hat und seit drei Jahren als
Restaurantmanager tätig ist.</w:t>
      </w:r>
    </w:p>
    <w:p>
      <w:pPr>
        <w:widowControl w:val="on"/>
        <w:pBdr/>
        <w:spacing w:before="140" w:after="240" w:line="288" w:lineRule="auto"/>
        <w:ind w:left="0" w:right="0"/>
        <w:jc w:val="left"/>
      </w:pPr>
      <w:r>
        <w:rPr>
          <w:rFonts w:ascii="Arial" w:hAnsi="Arial" w:eastAsia="Arial" w:cs="Arial"/>
          <w:color w:val="000000"/>
          <w:sz w:val="20"/>
          <w:szCs w:val="20"/>
        </w:rPr>
        <w:t xml:space="preserve">Herr Alfred Anis, Herr Sigfried Süßer und Herr Harald Haube
beabsichtigen, durch den vorliegenden Gesellschaftsvertrag eine
Kommanditgesellschaft zu errichten, die am Standort des bisherigen
Gastronomielokals „Zum goldenen Kochlöffel“ unter der
Etablissementbezeichnung einen Lokalverbund „Der goldene Kochlöffel
– Restaurant und und Konditorei“ betreibt.</w:t>
      </w:r>
    </w:p>
    <w:p>
      <w:pPr>
        <w:widowControl w:val="on"/>
        <w:pBdr/>
        <w:spacing w:before="140" w:after="240" w:line="288" w:lineRule="auto"/>
        <w:ind w:left="0" w:right="0"/>
        <w:jc w:val="left"/>
      </w:pPr>
      <w:r>
        <w:rPr>
          <w:rFonts w:ascii="Arial" w:hAnsi="Arial" w:eastAsia="Arial" w:cs="Arial"/>
          <w:color w:val="000000"/>
          <w:sz w:val="20"/>
          <w:szCs w:val="20"/>
        </w:rPr>
        <w:t xml:space="preserve">Parteien dieses Gesellschaftsvertrages und Gesellschafter der zu
errichtenden Gesellschaft sind</w:t>
      </w:r>
    </w:p>
    <w:p>
      <w:pPr>
        <w:numPr>
          <w:ilvl w:val="0"/>
          <w:numId w:val="6368983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Alfred Anis, geb 01.10.1961, Schmorgasse 1, 1010 Wien</w:t>
      </w:r>
    </w:p>
    <w:p>
      <w:pPr>
        <w:numPr>
          <w:ilvl w:val="0"/>
          <w:numId w:val="6368983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Sigfried Süßer, geb 02.12.1972, Bäckerstraße 2, 1020
Wien</w:t>
      </w:r>
    </w:p>
    <w:p>
      <w:pPr>
        <w:numPr>
          <w:ilvl w:val="0"/>
          <w:numId w:val="6368983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Harald Haube, geb 13.03.1983, Trüffelweg 3, 1030 Wien</w:t>
      </w:r>
    </w:p>
    <w:p>
      <w:pPr>
        <w:widowControl w:val="on"/>
        <w:pBdr/>
        <w:spacing w:before="140" w:after="240" w:line="288" w:lineRule="auto"/>
        <w:ind w:left="0" w:right="0"/>
        <w:jc w:val="left"/>
      </w:pPr>
      <w:r>
        <w:rPr>
          <w:rFonts w:ascii="Arial" w:hAnsi="Arial" w:eastAsia="Arial" w:cs="Arial"/>
          <w:color w:val="000000"/>
          <w:sz w:val="20"/>
          <w:szCs w:val="20"/>
        </w:rPr>
        <w:t xml:space="preserve">Herr Anis ist Komplementär der Gesellschaft, Herr Süßer und Herr
Haube sind Kommanditisten.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Errichtung der Gesellschaft/Firma</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errichten mit Unterfertigung dieses
Vertrages eine Kommanditgesellschaft; die Gesellschaft hat die
Firma „Anis &amp; Co Restaurant- und Konditoreibetriebs KG“.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Sitz der Gesellschaft ist Wien.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Der Gegenstand des Unternehmens umfasst</w:t>
      </w:r>
    </w:p>
    <w:p>
      <w:pPr>
        <w:numPr>
          <w:ilvl w:val="0"/>
          <w:numId w:val="6930141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Betrieb des Gastgewerbes iSd § 94 Z 26 der
Gewerbeordnung, insbesondere die Verabreichung von Speisen jeder
Art und den Ausschank von Getränken;</w:t>
      </w:r>
    </w:p>
    <w:p>
      <w:pPr>
        <w:numPr>
          <w:ilvl w:val="0"/>
          <w:numId w:val="6930141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Betrieb des Handwerks der Konditoren (Zuckerbäcker)
einschließlich der Lebzelter und der Konditen-, Gefrorenes- und
Schokoladenwarenerzeugung iSd § 94 Z 40 der
Gewerbeordnung, insbesondere auch die Verabreichung kleiner kalter
und warmer Speisen sowie den Ausschank von Getränken in den
Verkaufsräumlichkeiten einer Konditorei;</w:t>
      </w:r>
    </w:p>
    <w:p>
      <w:pPr>
        <w:numPr>
          <w:ilvl w:val="0"/>
          <w:numId w:val="6930141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Beteiligung an Gesellschaften jedweder Art, zu deren
Unternehmensgegenstand eine der genannten Tätigkeiten gehört.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Entstehung der Gesellschaft/Haftung für Handlungen vor der
Entstehung</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entsteht mit der Eintragung derselben in das
Firmenbuch.</w:t>
      </w:r>
    </w:p>
    <w:p>
      <w:pPr>
        <w:widowControl w:val="on"/>
        <w:pBdr/>
        <w:spacing w:before="140" w:after="240" w:line="288" w:lineRule="auto"/>
        <w:ind w:left="0" w:right="0"/>
        <w:jc w:val="left"/>
      </w:pPr>
      <w:r>
        <w:rPr>
          <w:rFonts w:ascii="Arial" w:hAnsi="Arial" w:eastAsia="Arial" w:cs="Arial"/>
          <w:color w:val="000000"/>
          <w:sz w:val="20"/>
          <w:szCs w:val="20"/>
        </w:rPr>
        <w:t xml:space="preserve">Wenn nach der Errichtung (Punkt II.), aber vor der Entstehung
der Gesellschaft</w:t>
      </w:r>
    </w:p>
    <w:p>
      <w:pPr>
        <w:numPr>
          <w:ilvl w:val="0"/>
          <w:numId w:val="6949084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Gesellschafter oder</w:t>
      </w:r>
    </w:p>
    <w:p>
      <w:pPr>
        <w:numPr>
          <w:ilvl w:val="0"/>
          <w:numId w:val="6949084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zur Vertretung der Gesellschaft bestellte Person</w:t>
      </w:r>
    </w:p>
    <w:p>
      <w:pPr>
        <w:widowControl w:val="on"/>
        <w:pBdr/>
        <w:spacing w:before="140" w:after="240" w:line="288" w:lineRule="auto"/>
        <w:ind w:left="0" w:right="0"/>
        <w:jc w:val="left"/>
      </w:pPr>
      <w:r>
        <w:rPr>
          <w:rFonts w:ascii="Arial" w:hAnsi="Arial" w:eastAsia="Arial" w:cs="Arial"/>
          <w:color w:val="000000"/>
          <w:sz w:val="20"/>
          <w:szCs w:val="20"/>
        </w:rPr>
        <w:t xml:space="preserve">im Namen der Gesellschaft handelt, dann werden aus dieser
Handlung alle Gesellschafter berechtigt und verpflichtet, wobei
hinsichtlich des Kommanditisten die in Punkt XXII. behandelte
Haftungsbegrenzung zu berücksichtigen ist. Mit der Entstehung der
Gesellschaft tritt diese in die betreffenden Rechtsverhältnisse
ein, ohne dass es eines weiteren Rechtsaktes bedürfte.</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die Kommanditisten auch vor der
Entstehung der Gesellschaft nicht zur Vertretung derselben befugt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Geschäftsjahr entspricht dem Kalenderjahr und endet somit
jeweils am 31.12.</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VIII. Einlagen/Kapitalanteile</w:t>
      </w:r>
    </w:p>
    <w:p>
      <w:pPr>
        <w:widowControl w:val="on"/>
        <w:pBdr/>
        <w:spacing w:before="140" w:after="240" w:line="288" w:lineRule="auto"/>
        <w:ind w:left="0" w:right="0"/>
        <w:jc w:val="left"/>
      </w:pPr>
      <w:r>
        <w:rPr>
          <w:rFonts w:ascii="Arial" w:hAnsi="Arial" w:eastAsia="Arial" w:cs="Arial"/>
          <w:color w:val="000000"/>
          <w:sz w:val="20"/>
          <w:szCs w:val="20"/>
        </w:rPr>
        <w:t xml:space="preserve">Es wird die Leistung von Einlagen der Gesellschafter
entsprechend den nachstehenden Regelungen vereinbart:</w:t>
      </w:r>
    </w:p>
    <w:p>
      <w:pPr>
        <w:numPr>
          <w:ilvl w:val="0"/>
          <w:numId w:val="85334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Alfred Anis bringt sein bisher als nicht
protokolliertes Einzelunternehmen geführtes gastgewerbliches
Unternehmen (Standort: Schmorgasse 1, 1010 Wien,
Etablissementbezeichnung „Zum goldenen Kochlöffel“) in die
Gesellschaft ein; der Betrieb geht in das Eigentum der Gesellschaft
über; es wird vereinbart, dass die zum Zeitpunkt des
Unternehmensübergangs bestehenden unternehmensbezogenen, nicht
höchstpersönlichen Rechtsverhältnisse des Einbringenden mit den bis
dahin entstandenen Rechten und Verbindlichkeiten nicht von der
Gesellschaft übernommen werden; die Haftung der Gesellschaft für
mit unternehmensbezogenen Rechtsverhältnissen des Einbringenden
verbundene Verbindlichkeiten wird ausgeschlossen, wobei dieser
Haftungsausschluss beim Unternehmensübergang in das Firmenbuch
einzutragen ist (Hinweis auf § 38 Absatz 4
Unternehmensgesetzbuch). Einvernehmlich wird festgestellt, dass der
Wert des als Einlage dienenden Unternehmens EUR 100.000,–
(einhunderttausend Euro) beträgt.</w:t>
      </w:r>
    </w:p>
    <w:p>
      <w:pPr>
        <w:numPr>
          <w:ilvl w:val="0"/>
          <w:numId w:val="85334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Sigfried Süßer bringt Teile der Ausstattung
eines Konditoreibetriebes entsprechend dem einen integrierten
Bestandteil dieses Vertrages bildenden Anhang ./A als Einlage ein,
wobei die Einlage einvernehmlich mit EUR 15.000,–
(fünfzehntausend Euro) bewertet wird; weiters bringt er seine
Arbeitsleistung in die Gesellschaft ein; dafür wird ihm eine
Beteiligung an der Gesellschaft gewährt; der Wert dieser Einlage
wird einvernehmlich mit EUR 15.000,– (fünfzehntausend Euro)
festgestellt. Zusätzlich leistet Herr Sigfried Süßer eine
Bareinlage von EUR 20.000,– (zwanzigtausend Euro).</w:t>
      </w:r>
    </w:p>
    <w:p>
      <w:pPr>
        <w:numPr>
          <w:ilvl w:val="0"/>
          <w:numId w:val="85334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Harald Haube bringt seine Arbeitsleistung
als Restaurantmanager in die Gesellschaft ein; dafür wird ihm eine
Beteiligung an der Gesellschaft gewährt; der Wert dieser Einlage
wird einvernehmlich mit EUR 30.000,– (dreißigtausend Euro)
festgestellt; zusätzlich leistet Herr Harald Haube eine Bareinlage
in Höhe von EUR 20.000,– (zwanzigtausend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Die bar zu leistenden Einlagen sind durch Überweisung auf das
Konto bei der Schaum Bank AG, Kto-Nr: 7654321, BLZ 123000, zu
leisten, wobei der Eingang auf dem Konto spätestens am 01.02.2012
zu erfolgen hat.</w:t>
      </w:r>
    </w:p>
    <w:p>
      <w:pPr>
        <w:widowControl w:val="on"/>
        <w:pBdr/>
        <w:spacing w:before="140" w:after="240" w:line="288" w:lineRule="auto"/>
        <w:ind w:left="0" w:right="0"/>
        <w:jc w:val="left"/>
      </w:pPr>
      <w:r>
        <w:rPr>
          <w:rFonts w:ascii="Arial" w:hAnsi="Arial" w:eastAsia="Arial" w:cs="Arial"/>
          <w:color w:val="000000"/>
          <w:sz w:val="20"/>
          <w:szCs w:val="20"/>
        </w:rPr>
        <w:t xml:space="preserve">Zahlt ein Gesellschafter die Einlage nicht fristgerecht ein,
dann ist er verpflichtet, vom 01.02.2012 an angemessene Zinsen an
die Gesellschaft zu bezahlen.</w:t>
      </w:r>
    </w:p>
    <w:p>
      <w:pPr>
        <w:widowControl w:val="on"/>
        <w:pBdr/>
        <w:spacing w:before="140" w:after="240" w:line="288" w:lineRule="auto"/>
        <w:ind w:left="0" w:right="0"/>
        <w:jc w:val="left"/>
      </w:pPr>
      <w:r>
        <w:rPr>
          <w:rFonts w:ascii="Arial" w:hAnsi="Arial" w:eastAsia="Arial" w:cs="Arial"/>
          <w:color w:val="000000"/>
          <w:sz w:val="20"/>
          <w:szCs w:val="20"/>
        </w:rPr>
        <w:t xml:space="preserve">Stichtag für die Übertragung des Unternehmens des Herrn Alfred
Anis bzw für die Übergabe der Ausstattungsgegenstände des Herrn
Sigfried Süßer ist der … [Datum].</w:t>
      </w:r>
    </w:p>
    <w:p>
      <w:pPr>
        <w:widowControl w:val="on"/>
        <w:pBdr/>
        <w:spacing w:before="140" w:after="240" w:line="288" w:lineRule="auto"/>
        <w:ind w:left="0" w:right="0"/>
        <w:jc w:val="left"/>
      </w:pPr>
      <w:r>
        <w:rPr>
          <w:rFonts w:ascii="Arial" w:hAnsi="Arial" w:eastAsia="Arial" w:cs="Arial"/>
          <w:color w:val="000000"/>
          <w:sz w:val="20"/>
          <w:szCs w:val="20"/>
        </w:rPr>
        <w:t xml:space="preserve">Das Verhältnis der Höhe der vereinbarten Einlagen bestimmt die
Beteiligung der Gesellschafter an der Gesellschaft (Kapitalanteil);
die Gesellschafter sind somit im Verhältnis 2:1:1 an der
Gesellschaft beteiligt.</w:t>
      </w:r>
    </w:p>
    <w:p>
      <w:pPr>
        <w:widowControl w:val="on"/>
        <w:pBdr/>
        <w:spacing w:before="140" w:after="240" w:line="288" w:lineRule="auto"/>
        <w:ind w:left="0" w:right="0"/>
        <w:jc w:val="left"/>
      </w:pPr>
      <w:r>
        <w:rPr>
          <w:rFonts w:ascii="Arial" w:hAnsi="Arial" w:eastAsia="Arial" w:cs="Arial"/>
          <w:color w:val="000000"/>
          <w:sz w:val="20"/>
          <w:szCs w:val="20"/>
        </w:rPr>
        <w:t xml:space="preserve">Die bezeichneten Einlagen der Kommanditisten von jeweils
EUR 50.000,– sind die bedungenen Einlagen iSd § 168
Abs 1 UGB.</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die ins Firmenbuch einzutragende
Haftsumme des Kommanditisten iSd 171 Absatz 1
Unternehmensgesetzbuch</w:t>
      </w:r>
    </w:p>
    <w:p>
      <w:pPr>
        <w:numPr>
          <w:ilvl w:val="0"/>
          <w:numId w:val="191356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des Gesellschafters Sigfried Süßer EUR 20.000,–
(zwanzigtausend Euro) und</w:t>
      </w:r>
    </w:p>
    <w:p>
      <w:pPr>
        <w:numPr>
          <w:ilvl w:val="0"/>
          <w:numId w:val="191356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des Gesellschafters Harald Haube gleichfalls
EUR 20.000,– (zwanzigtausend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beträgt.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IX.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Geschäftsführung umfasst alle Handlungen – gleich ob
rechtlicher oder tatsächlicher Natur –, die der Verwirklichung des
Gesellschaftszwecks dienen, insbesondere</w:t>
      </w:r>
    </w:p>
    <w:p>
      <w:pPr>
        <w:numPr>
          <w:ilvl w:val="0"/>
          <w:numId w:val="222038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Planung,</w:t>
      </w:r>
    </w:p>
    <w:p>
      <w:pPr>
        <w:numPr>
          <w:ilvl w:val="0"/>
          <w:numId w:val="222038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Durchführung und</w:t>
      </w:r>
    </w:p>
    <w:p>
      <w:pPr>
        <w:numPr>
          <w:ilvl w:val="0"/>
          <w:numId w:val="222038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Kontrolle</w:t>
      </w:r>
    </w:p>
    <w:p>
      <w:pPr>
        <w:widowControl w:val="on"/>
        <w:pBdr/>
        <w:spacing w:before="140" w:after="240" w:line="288" w:lineRule="auto"/>
        <w:ind w:left="0" w:right="0"/>
        <w:jc w:val="left"/>
      </w:pPr>
      <w:r>
        <w:rPr>
          <w:rFonts w:ascii="Arial" w:hAnsi="Arial" w:eastAsia="Arial" w:cs="Arial"/>
          <w:color w:val="000000"/>
          <w:sz w:val="20"/>
          <w:szCs w:val="20"/>
        </w:rPr>
        <w:t xml:space="preserve">der zum Unternehmensgegenstand gehörenden Tätigkeiten (Punkt
IV.).</w:t>
      </w:r>
    </w:p>
    <w:p>
      <w:pPr>
        <w:widowControl w:val="on"/>
        <w:pBdr/>
        <w:spacing w:before="140" w:after="240" w:line="288" w:lineRule="auto"/>
        <w:ind w:left="0" w:right="0"/>
        <w:jc w:val="left"/>
      </w:pPr>
      <w:r>
        <w:rPr>
          <w:rFonts w:ascii="Arial" w:hAnsi="Arial" w:eastAsia="Arial" w:cs="Arial"/>
          <w:color w:val="000000"/>
          <w:sz w:val="20"/>
          <w:szCs w:val="20"/>
        </w:rPr>
        <w:t xml:space="preserve">Nicht zur Geschäftsführung zählen Handlungen, welche</w:t>
      </w:r>
    </w:p>
    <w:p>
      <w:pPr>
        <w:numPr>
          <w:ilvl w:val="0"/>
          <w:numId w:val="4366725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Grundlagen der Gesellschaft betreffen oder</w:t>
      </w:r>
    </w:p>
    <w:p>
      <w:pPr>
        <w:numPr>
          <w:ilvl w:val="0"/>
          <w:numId w:val="4366725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Beziehungen der Gesellschafter zueinander regeln,</w:t>
      </w:r>
    </w:p>
    <w:p>
      <w:pPr>
        <w:widowControl w:val="on"/>
        <w:pBdr/>
        <w:spacing w:before="140" w:after="240" w:line="288" w:lineRule="auto"/>
        <w:ind w:left="0" w:right="0"/>
        <w:jc w:val="left"/>
      </w:pPr>
      <w:r>
        <w:rPr>
          <w:rFonts w:ascii="Arial" w:hAnsi="Arial" w:eastAsia="Arial" w:cs="Arial"/>
          <w:color w:val="000000"/>
          <w:sz w:val="20"/>
          <w:szCs w:val="20"/>
        </w:rPr>
        <w:t xml:space="preserve">wie insbesondere Änderungen des Gesellschaftsvertrages.</w:t>
      </w:r>
    </w:p>
    <w:p>
      <w:pPr>
        <w:widowControl w:val="on"/>
        <w:pBdr/>
        <w:spacing w:before="140" w:after="240" w:line="288" w:lineRule="auto"/>
        <w:ind w:left="0" w:right="0"/>
        <w:jc w:val="left"/>
      </w:pPr>
      <w:r>
        <w:rPr>
          <w:rFonts w:ascii="Arial" w:hAnsi="Arial" w:eastAsia="Arial" w:cs="Arial"/>
          <w:color w:val="000000"/>
          <w:sz w:val="20"/>
          <w:szCs w:val="20"/>
        </w:rPr>
        <w:t xml:space="preserve">Im Rahmen der Geschäftsführung ist zu unterscheiden zwischen</w:t>
      </w:r>
    </w:p>
    <w:p>
      <w:pPr>
        <w:numPr>
          <w:ilvl w:val="0"/>
          <w:numId w:val="710524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Handlungen, die der gewöhnliche Betrieb des Unternehmens der
Gesellschaft mit sich bringt (Geschäftsführung in gewöhnlichen
Angelegenheiten) und</w:t>
      </w:r>
    </w:p>
    <w:p>
      <w:pPr>
        <w:numPr>
          <w:ilvl w:val="0"/>
          <w:numId w:val="710524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Handlungen, die über den bezeichneten Bereich hinausgehen, etwa
weil sie
</w:t>
      </w:r>
    </w:p>
    <w:p>
      <w:pPr>
        <w:numPr>
          <w:ilvl w:val="1"/>
          <w:numId w:val="710524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im Zeitpunkt der Setzung der Handlung gewöhnlichen Rahmen
des Geschäftsbetriebs übersteigen oder</w:t>
      </w:r>
    </w:p>
    <w:p>
      <w:pPr>
        <w:numPr>
          <w:ilvl w:val="1"/>
          <w:numId w:val="710524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besonderes Risiko in sich bergen</w:t>
      </w:r>
      <w:r>
        <w:rPr>
          <w:rFonts w:ascii="Arial" w:hAnsi="Arial" w:eastAsia="Arial" w:cs="Arial"/>
          <w:color w:val="000000"/>
          <w:sz w:val="20"/>
          <w:szCs w:val="20"/>
        </w:rPr>
        <w:br/>
        <w:t xml:space="preserve">(Geschäftsführung in außergewöhnlichen Angelegenheiten).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 Ausübung der Geschäftsführung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Alfred Anis ist zur Geschäftsführung berechtigt
und verpflichtet („geschäftsführender Gesellschafter“), sofern
nicht</w:t>
      </w:r>
    </w:p>
    <w:p>
      <w:pPr>
        <w:numPr>
          <w:ilvl w:val="0"/>
          <w:numId w:val="44365126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seine Geschäftsführungsbefugnis durch gerichtliche Entscheidung
entzogen (Punkt XI.) oder</w:t>
      </w:r>
    </w:p>
    <w:p>
      <w:pPr>
        <w:numPr>
          <w:ilvl w:val="0"/>
          <w:numId w:val="44365126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von ihm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ist der Komplementär Alfred Anis
jeweils allein zu handeln berechtigt
(Einzelgeschäftsführungsbefugnis).</w:t>
      </w:r>
    </w:p>
    <w:p>
      <w:pPr>
        <w:widowControl w:val="on"/>
        <w:pBdr/>
        <w:spacing w:before="140" w:after="240" w:line="288" w:lineRule="auto"/>
        <w:ind w:left="0" w:right="0"/>
        <w:jc w:val="left"/>
      </w:pPr>
      <w:r>
        <w:rPr>
          <w:rFonts w:ascii="Arial" w:hAnsi="Arial" w:eastAsia="Arial" w:cs="Arial"/>
          <w:color w:val="277DB9"/>
          <w:sz w:val="20"/>
          <w:szCs w:val="20"/>
        </w:rPr>
        <w:t xml:space="preserve">Die Kommanditisten sind auch von der Geschäftsführung in
gewöhnlichen Angelegenheiten ausgeschlossen und können insbesondere
gegen Handlungen des geschäftsführenden Gesellschafters in
derartigen Angelegenheiten keinen Widerspruch erheben.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(auch der nicht
geschäftsführenden einschließlich der Kommanditisten)
erforderlich.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Alfred Anis und der Kommanditist Sigfried Süßer
sind zur Geschäftsführung berechtigt und verpflichtet
(„geschäftsführender Gesellschafter“), sofern nicht bezüglich des
Betreffenden</w:t>
      </w:r>
    </w:p>
    <w:p>
      <w:pPr>
        <w:numPr>
          <w:ilvl w:val="0"/>
          <w:numId w:val="57865714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seine Geschäftsführungsbefugnis durch gerichtliche Entscheidung
entzogen (Punkt XI.) oder</w:t>
      </w:r>
    </w:p>
    <w:p>
      <w:pPr>
        <w:numPr>
          <w:ilvl w:val="0"/>
          <w:numId w:val="57865714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von ihm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sind die geschäftsführenden
Gesellschafter jeweils allein zu handeln berechtigt
(Einzelgeschäftsführungsbefugnis).</w:t>
      </w:r>
    </w:p>
    <w:p>
      <w:pPr>
        <w:widowControl w:val="on"/>
        <w:pBdr/>
        <w:spacing w:before="140" w:after="240" w:line="288" w:lineRule="auto"/>
        <w:ind w:left="0" w:right="0"/>
        <w:jc w:val="left"/>
      </w:pPr>
      <w:r>
        <w:rPr>
          <w:rFonts w:ascii="Arial" w:hAnsi="Arial" w:eastAsia="Arial" w:cs="Arial"/>
          <w:color w:val="277DB9"/>
          <w:sz w:val="20"/>
          <w:szCs w:val="20"/>
        </w:rPr>
        <w:t xml:space="preserve">Der Kommanditist Harald Haube ist auch von der Geschäftsführung
in gewöhnlichen Angelegenheiten ausgeschlossen und kann
insbesondere gegen Handlungen des geschäftsführenden
Gesellschafters in derartigen Angelegenheiten keinen Widerspruch
erheben.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(auch der nicht
geschäftsführenden einschließlich des Kommanditisten Harald Haube)
erforderlich.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sind zur Geschäftsführung berechtigt und
verpflichtet („geschäftsführende Gesellschafter“), sofern nicht</w:t>
      </w:r>
    </w:p>
    <w:p>
      <w:pPr>
        <w:numPr>
          <w:ilvl w:val="0"/>
          <w:numId w:val="32468914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Geschäftsführungsbefugnis des betreffenden Gesellschafters
durch gerichtliche Entscheidung entzogen (Punkt XI.) oder</w:t>
      </w:r>
    </w:p>
    <w:p>
      <w:pPr>
        <w:numPr>
          <w:ilvl w:val="0"/>
          <w:numId w:val="32468914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vom betreffenden Gesellschafter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sind die geschäftsführenden
Gesellschafter allein zu handeln berechtigt
(Einzelgeschäftsführungsbefugnis); widerspricht jedoch ein anderer
geschäftsführender Gesellschafter der Vornahme einer
Geschäftsführungshandlung, so hat diese zu unterbleiben.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erforderlich,
wobei auf die Beschlussfassungserfordernisse nach Punkt XIII.
hingewiesen wird.</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4:</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sind zur Geschäftsführung berechtigt und
verpflichtet („geschäftsführende Gesellschafter“), sofern nicht</w:t>
      </w:r>
    </w:p>
    <w:p>
      <w:pPr>
        <w:numPr>
          <w:ilvl w:val="0"/>
          <w:numId w:val="79894425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Geschäftsführungsbefugnis des betreffenden Gesellschafters
durch gerichtliche Entscheidung entzogen (Punkt XI.) oder</w:t>
      </w:r>
    </w:p>
    <w:p>
      <w:pPr>
        <w:numPr>
          <w:ilvl w:val="0"/>
          <w:numId w:val="79894425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vom betreffenden Gesellschafter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Für die Vornahme einer Geschäftsführungshandlung in gewöhnlichen
Angelegenheiten ist ein gemeinsames Handeln von wenigstens zwei
Gesellschaftern erforderlich; der Gesellschafter Sigfried Süßer
kann jeder Geschäftsführungsmaßnahme wirksam widersprechen.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erforderlich,
wobei auf die Beschlussfassungserfordernisse nach Punkt XIII.
hingewiesen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 Entziehung der Geschäftsführungsbefugnis</w:t>
      </w:r>
    </w:p>
    <w:p>
      <w:pPr>
        <w:widowControl w:val="on"/>
        <w:pBdr/>
        <w:spacing w:before="140" w:after="240" w:line="288" w:lineRule="auto"/>
        <w:ind w:left="0" w:right="0"/>
        <w:jc w:val="left"/>
      </w:pPr>
      <w:r>
        <w:rPr>
          <w:rFonts w:ascii="Arial" w:hAnsi="Arial" w:eastAsia="Arial" w:cs="Arial"/>
          <w:color w:val="000000"/>
          <w:sz w:val="20"/>
          <w:szCs w:val="20"/>
        </w:rPr>
        <w:t xml:space="preserve">Einem geschäftsführenden Gesellschafter kann die
Geschäftsführungsbefugnis auf Antrag der übrigen Gesellschafter
durch gerichtliche Entscheidung entzogen werden, wenn ein wichtiger
Grund, etwa</w:t>
      </w:r>
    </w:p>
    <w:p>
      <w:pPr>
        <w:numPr>
          <w:ilvl w:val="0"/>
          <w:numId w:val="8552554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grobe Pflichtverletzung durch den Gesellschafter oder</w:t>
      </w:r>
    </w:p>
    <w:p>
      <w:pPr>
        <w:numPr>
          <w:ilvl w:val="0"/>
          <w:numId w:val="8552554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Unfähigkeit des Gesellschafters zur ordnungsgemäßen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vorliegt.</w:t>
      </w:r>
    </w:p>
    <w:p>
      <w:pPr>
        <w:widowControl w:val="on"/>
        <w:pBdr/>
        <w:spacing w:before="140" w:after="240" w:line="288" w:lineRule="auto"/>
        <w:ind w:left="0" w:right="0"/>
        <w:jc w:val="left"/>
      </w:pPr>
      <w:r>
        <w:rPr>
          <w:rFonts w:ascii="Arial" w:hAnsi="Arial" w:eastAsia="Arial" w:cs="Arial"/>
          <w:color w:val="000000"/>
          <w:sz w:val="20"/>
          <w:szCs w:val="20"/>
        </w:rPr>
        <w:t xml:space="preserve">Jeder andere Gesellschafter ist verpflichtet, im Fall des
Vorliegens eines wichtigen Grundes am Verfahren zum Entzug der
Geschäftsführungsbefugnis des betreffenden Gesellschafters
mitzuwirken.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XII. Kündigung der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kann die Geschäftsführung
kündigen, wenn ein wichtiger Grund vorliegt; auf dieses Recht kann
nicht verzichtet werden.</w:t>
      </w:r>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darf die Geschäftsführung
nur in einer solchen Weise kündigen, dass die Gesellschafter für
die Führung der Geschäfte anderweitig Vorsorge treffen können.</w:t>
      </w:r>
    </w:p>
    <w:p>
      <w:pPr>
        <w:widowControl w:val="on"/>
        <w:pBdr/>
        <w:spacing w:before="140" w:after="240" w:line="288" w:lineRule="auto"/>
        <w:ind w:left="0" w:right="0"/>
        <w:jc w:val="left"/>
      </w:pPr>
      <w:r>
        <w:rPr>
          <w:rFonts w:ascii="Arial" w:hAnsi="Arial" w:eastAsia="Arial" w:cs="Arial"/>
          <w:color w:val="000000"/>
          <w:sz w:val="20"/>
          <w:szCs w:val="20"/>
        </w:rPr>
        <w:t xml:space="preserve">Liegt ein wichtiger Grund dafür vor, die Geschäftsführung zur
Unzeit zu kündigen, so ist ein geschäftsführender Gesellschafter
zur unzeitigen Kündigung berechtigt.</w:t>
      </w:r>
    </w:p>
    <w:p>
      <w:pPr>
        <w:widowControl w:val="on"/>
        <w:pBdr/>
        <w:spacing w:before="140" w:after="240" w:line="288" w:lineRule="auto"/>
        <w:ind w:left="0" w:right="0"/>
        <w:jc w:val="left"/>
      </w:pPr>
      <w:r>
        <w:rPr>
          <w:rFonts w:ascii="Arial" w:hAnsi="Arial" w:eastAsia="Arial" w:cs="Arial"/>
          <w:color w:val="000000"/>
          <w:sz w:val="20"/>
          <w:szCs w:val="20"/>
        </w:rPr>
        <w:t xml:space="preserve">Kündigt ein geschäftsführender Gesellschafter die
Geschäftsführung zur Unzeit, ohne dass ein wichtiger Grund für die
Unzeitigkeit vorliegt, dann haftet er der Gesellschaft für den
daraus entstehenden Schaden.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XIII. Beschlussfassung der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Fassen die Gesellschafter – etwa im Zuge der Geschäftsführung in
außergewöhnlichen Angelegenheiten – einen Beschluss, so ist die
Zustimmung aller zur Mitwirkung bei der Beschlussfassung berufenen
Gesellschafter erforderlich (Einstimmigkeitsprinzip).</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XIV. Wettbewerbsverbot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darf nur mit Einwilligung aller übrigen
Gesellschafter</w:t>
      </w:r>
    </w:p>
    <w:p>
      <w:pPr>
        <w:numPr>
          <w:ilvl w:val="0"/>
          <w:numId w:val="43853390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im Geschäftszweig der Gesellschaft Geschäfte machen oder</w:t>
      </w:r>
    </w:p>
    <w:p>
      <w:pPr>
        <w:numPr>
          <w:ilvl w:val="0"/>
          <w:numId w:val="43853390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an einer anderen, gleichartigen Gesellschaft als unbeschränkt
haftender Gesellschafter teilnehmen.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bei Unterfertigung dieses
Gesellschaftsvertrages keinem der übrigen Gesellschafter bekannt
ist, dass der Komplementär an einer anderen Gesellschaft als
unbeschränkt haftender Gesellschafter beteiligt wäre.</w:t>
      </w:r>
    </w:p>
    <w:p>
      <w:pPr>
        <w:widowControl w:val="on"/>
        <w:pBdr/>
        <w:spacing w:before="140" w:after="240" w:line="288" w:lineRule="auto"/>
        <w:ind w:left="0" w:right="0"/>
        <w:jc w:val="left"/>
      </w:pPr>
      <w:r>
        <w:rPr>
          <w:rFonts w:ascii="Arial" w:hAnsi="Arial" w:eastAsia="Arial" w:cs="Arial"/>
          <w:color w:val="277DB9"/>
          <w:sz w:val="20"/>
          <w:szCs w:val="20"/>
        </w:rPr>
        <w:t xml:space="preserve">Wenn der Komplementär das Wettbewerbsverbot verletzt, so kann
die Gesellschaft nach ihrer Wahl</w:t>
      </w:r>
    </w:p>
    <w:p>
      <w:pPr>
        <w:numPr>
          <w:ilvl w:val="0"/>
          <w:numId w:val="22093368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Komplementär Schadenersatz fordern oder</w:t>
      </w:r>
    </w:p>
    <w:p>
      <w:pPr>
        <w:numPr>
          <w:ilvl w:val="0"/>
          <w:numId w:val="22093368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Komplementär verlangen, dass er</w:t>
      </w:r>
      <w:r>
        <w:rPr>
          <w:rFonts w:ascii="Arial" w:hAnsi="Arial" w:eastAsia="Arial" w:cs="Arial"/>
          <w:color w:val="277DB9"/>
          <w:sz w:val="20"/>
          <w:szCs w:val="20"/>
        </w:rPr>
        <w:br/>
        <w:t xml:space="preserve"> 
</w:t>
      </w:r>
    </w:p>
    <w:p>
      <w:pPr>
        <w:numPr>
          <w:ilvl w:val="1"/>
          <w:numId w:val="22093368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für eigene Rechnung gemachten Geschäfte als für Rechnung
der Gesellschaft eingegangen gelten lässt und</w:t>
      </w:r>
    </w:p>
    <w:p>
      <w:pPr>
        <w:numPr>
          <w:ilvl w:val="1"/>
          <w:numId w:val="22093368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Vergütungen, die er aus Geschäften für fremde Rechnung bezogen
hat, an die Gesellschaft herausgibt bzw ihren Anspruch auf
derartige Vergütungen an die Gesellschaft abtritt.</w:t>
      </w:r>
    </w:p>
    <w:p>
      <w:pPr>
        <w:widowControl w:val="on"/>
        <w:pBdr/>
        <w:spacing w:before="140" w:after="240" w:line="288" w:lineRule="auto"/>
        <w:ind w:left="0" w:right="0"/>
        <w:jc w:val="left"/>
      </w:pPr>
      <w:r>
        <w:rPr>
          <w:rFonts w:ascii="Arial" w:hAnsi="Arial" w:eastAsia="Arial" w:cs="Arial"/>
          <w:color w:val="277DB9"/>
          <w:sz w:val="20"/>
          <w:szCs w:val="20"/>
        </w:rPr>
        <w:t xml:space="preserve">Über die Geltendmachung dieser Ansprüche entscheiden die übrigen
Gesellschafter (die Kommanditisten) durch Beschluss; der vom
Vorwurf der Verletzung des Wettbewerbsverbots betroffene
Komplementär ist von der Mitwirkung am Beschluss
ausgeschlossen.</w:t>
      </w:r>
    </w:p>
    <w:p>
      <w:pPr>
        <w:widowControl w:val="on"/>
        <w:pBdr/>
        <w:spacing w:before="140" w:after="240" w:line="288" w:lineRule="auto"/>
        <w:ind w:left="0" w:right="0"/>
        <w:jc w:val="left"/>
      </w:pPr>
      <w:r>
        <w:rPr>
          <w:rFonts w:ascii="Arial" w:hAnsi="Arial" w:eastAsia="Arial" w:cs="Arial"/>
          <w:color w:val="277DB9"/>
          <w:sz w:val="20"/>
          <w:szCs w:val="20"/>
        </w:rPr>
        <w:t xml:space="preserve">Die bezeichneten Ansprüche der Gesellschaft verjähren innerhalb
von drei Monaten ab dem Zeitpunkt, in dem die übrigen
Gesellschafter vom Abschluss des verbotswidrigen Geschäfts bzw von
der verbotswidrigen Beteiligung an einer anderen Gesellschaft
Kenntnis erlangt haben; unabhängig vom Vorliegen einer Kenntnis
tritt die Verjährung nach fünf Jahren ab Entstehung der Ansprüche
ein.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durch die Regelungen dieses
Punktes etwaige Rechte der Gesellschafter, die Auflösung der
Gesellschaft zu verlangen, nicht berührt werden.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Gesellschafter Alfred Anis sowie der Gesellschafter Harald
Haube dürfen jeweils nur mit Einwilligung aller übrigen
Gesellschafter</w:t>
      </w:r>
    </w:p>
    <w:p>
      <w:pPr>
        <w:numPr>
          <w:ilvl w:val="0"/>
          <w:numId w:val="8762519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im Geschäftszweig der Gesellschaft Geschäfte machen oder</w:t>
      </w:r>
    </w:p>
    <w:p>
      <w:pPr>
        <w:numPr>
          <w:ilvl w:val="0"/>
          <w:numId w:val="8762519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an einer anderen, gleichartigen Gesellschaft als unbeschränkt
haftender Gesellschafter teilnehmen; der Teilnahme an einer anderen
Gesellschaft als unbeschränkt haftender Gesellschafter ist es
gleichzuhalten, wenn die betreffende Person diese andere
Gesellschaft faktisch beherrscht, mag sie auch formal etwa nur die
Rolle eines Kommanditisten oder eines GmbH-Gesellschafters
innehaben.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bei Unterfertigung dieses
Gesellschaftsvertrages keinem der übrigen Gesellschafter bekannt
ist, dass der Gesellschafter Alfred Anis oder der Gesellschafter
Harald Haube an einer anderen Gesellschaft als unbeschränkt
haftender Gesellschafter beteiligt wäre bzw diese faktisch
beherrschen würde.</w:t>
      </w:r>
    </w:p>
    <w:p>
      <w:pPr>
        <w:widowControl w:val="on"/>
        <w:pBdr/>
        <w:spacing w:before="140" w:after="240" w:line="288" w:lineRule="auto"/>
        <w:ind w:left="0" w:right="0"/>
        <w:jc w:val="left"/>
      </w:pPr>
      <w:r>
        <w:rPr>
          <w:rFonts w:ascii="Arial" w:hAnsi="Arial" w:eastAsia="Arial" w:cs="Arial"/>
          <w:color w:val="277DB9"/>
          <w:sz w:val="20"/>
          <w:szCs w:val="20"/>
        </w:rPr>
        <w:t xml:space="preserve">Wenn ein Gesellschafter das Wettbewerbsverbot verletzt, so kann
die Gesellschaft nach ihrer Wahl</w:t>
      </w:r>
    </w:p>
    <w:p>
      <w:pPr>
        <w:numPr>
          <w:ilvl w:val="0"/>
          <w:numId w:val="44850717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betreffenden Gesellschafter Schadenersatz fordern oder</w:t>
      </w:r>
    </w:p>
    <w:p>
      <w:pPr>
        <w:numPr>
          <w:ilvl w:val="0"/>
          <w:numId w:val="44850717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betreffenden Gesellschafter verlangen, dass er
</w:t>
      </w:r>
    </w:p>
    <w:p>
      <w:pPr>
        <w:numPr>
          <w:ilvl w:val="1"/>
          <w:numId w:val="44850717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für eigene Rechnung gemachten Geschäfte als für Rechnung
der Gesellschaft eingegangen gelten lässt und</w:t>
      </w:r>
    </w:p>
    <w:p>
      <w:pPr>
        <w:numPr>
          <w:ilvl w:val="1"/>
          <w:numId w:val="44850717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Vergütungen, die er aus Geschäften für fremde Rechnung bezogen
hat, an die Gesellschaft herausgibt bzw ihren Anspruch auf
derartige Vergütungen an die Gesellschaft abtritt.</w:t>
      </w:r>
    </w:p>
    <w:p>
      <w:pPr>
        <w:widowControl w:val="on"/>
        <w:pBdr/>
        <w:spacing w:before="140" w:after="240" w:line="288" w:lineRule="auto"/>
        <w:ind w:left="0" w:right="0"/>
        <w:jc w:val="left"/>
      </w:pPr>
      <w:r>
        <w:rPr>
          <w:rFonts w:ascii="Arial" w:hAnsi="Arial" w:eastAsia="Arial" w:cs="Arial"/>
          <w:color w:val="277DB9"/>
          <w:sz w:val="20"/>
          <w:szCs w:val="20"/>
        </w:rPr>
        <w:t xml:space="preserve">Über die Geltendmachung dieser Ansprüche entscheiden die übrigen
Gesellschafter (die Kommanditisten) durch Beschluss; der vom
Vorwurf der Verletzung des Wettbewerbsverbots betroffene
Komplementär ist von der Mitwirkung am Beschluss
ausgeschlossen.</w:t>
      </w:r>
    </w:p>
    <w:p>
      <w:pPr>
        <w:widowControl w:val="on"/>
        <w:pBdr/>
        <w:spacing w:before="140" w:after="240" w:line="288" w:lineRule="auto"/>
        <w:ind w:left="0" w:right="0"/>
        <w:jc w:val="left"/>
      </w:pPr>
      <w:r>
        <w:rPr>
          <w:rFonts w:ascii="Arial" w:hAnsi="Arial" w:eastAsia="Arial" w:cs="Arial"/>
          <w:color w:val="277DB9"/>
          <w:sz w:val="20"/>
          <w:szCs w:val="20"/>
        </w:rPr>
        <w:t xml:space="preserve">Die bezeichneten Ansprüche der Gesellschaft verjähren innerhalb
von drei Monaten ab dem Zeitpunkt, in dem die übrigen
Gesellschafter vom Abschluss des verbotswidrigen Geschäfts bzw von
der verbotswidrigen Beteiligung an einer anderen Gesellschaft
Kenntnis erlangt haben; unabhängig vom Vorliegen einer Kenntnis
tritt die Verjährung nach fünf Jahren ab Entstehung der Ansprüche
ein.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durch die Regelungen dieses
Punktes etwaige Rechte der Gesellschafter, die Auflösung der
Gesellschaft zu verlangen, nicht berührt werden.</w:t>
      </w:r>
    </w:p>
    <w:p>
      <w:pPr>
        <w:widowControl w:val="on"/>
        <w:pBdr/>
        <w:spacing w:before="140" w:after="240" w:line="288" w:lineRule="auto"/>
        <w:ind w:left="0" w:right="0"/>
        <w:jc w:val="left"/>
      </w:pPr>
      <w:r>
        <w:rPr>
          <w:rFonts w:ascii="Arial" w:hAnsi="Arial" w:eastAsia="Arial" w:cs="Arial"/>
          <w:color w:val="277DB9"/>
          <w:sz w:val="20"/>
          <w:szCs w:val="20"/>
        </w:rPr>
        <w:t xml:space="preserve">Die oben bezüglich der Gesellschafter Alfred Anis bzw Harald
Haube getroffenen Regelungen gelten auch für den Gesellschafter
Sigfried Süßer, für diesen allerdings mit der Maßgabe, dass ihm
eine Geschäftstätigkeit im Geschäftszweig der Gesellschaft
gestattet ist, sofern sich diese Tätigkeit auf den Betrieb des
Handwerks der Konditoren (Zuckerbäcker) einschließlich der
Lebzelter und der Konditen-, Gefrorenes- und
Schokoladenwarenerzeugung iSd § 94 Z 40 der
Gewerbeordnung beschränkt.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 Kontrollrechte der Gesellschafter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 mag er geschäftsführend sein oder nicht – ist
befugt,</w:t>
      </w:r>
    </w:p>
    <w:p>
      <w:pPr>
        <w:numPr>
          <w:ilvl w:val="0"/>
          <w:numId w:val="65019567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65019567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65019567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140" w:after="240" w:line="288" w:lineRule="auto"/>
        <w:ind w:left="0" w:right="0"/>
        <w:jc w:val="left"/>
      </w:pPr>
      <w:r>
        <w:rPr>
          <w:rFonts w:ascii="Arial" w:hAnsi="Arial" w:eastAsia="Arial" w:cs="Arial"/>
          <w:color w:val="277DB9"/>
          <w:sz w:val="20"/>
          <w:szCs w:val="20"/>
        </w:rPr>
        <w:t xml:space="preserve">Die Kommanditisten sind berechtigt,</w:t>
      </w:r>
    </w:p>
    <w:p>
      <w:pPr>
        <w:numPr>
          <w:ilvl w:val="0"/>
          <w:numId w:val="84263896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eine Abschrift des Jahresabschlusses und</w:t>
      </w:r>
    </w:p>
    <w:p>
      <w:pPr>
        <w:numPr>
          <w:ilvl w:val="0"/>
          <w:numId w:val="84263896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Richtigkeit des Jahresabschlusses unter Einsichtnahme in
die Bücher und Schriften zu prüfen;</w:t>
      </w:r>
    </w:p>
    <w:p>
      <w:pPr>
        <w:widowControl w:val="on"/>
        <w:pBdr/>
        <w:spacing w:before="140" w:after="240" w:line="288" w:lineRule="auto"/>
        <w:ind w:left="0" w:right="0"/>
        <w:jc w:val="left"/>
      </w:pPr>
      <w:r>
        <w:rPr>
          <w:rFonts w:ascii="Arial" w:hAnsi="Arial" w:eastAsia="Arial" w:cs="Arial"/>
          <w:color w:val="277DB9"/>
          <w:sz w:val="20"/>
          <w:szCs w:val="20"/>
        </w:rPr>
        <w:t xml:space="preserve">weiters kommt den Kommanditisten ein Auskunftsrecht zu, soweit
dies zur Ausübung ihrer Gesellschafterrechte nötig ist.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 mögen sie geschäftsführend sein oder nicht
– sind befugt,</w:t>
      </w:r>
    </w:p>
    <w:p>
      <w:pPr>
        <w:numPr>
          <w:ilvl w:val="0"/>
          <w:numId w:val="91696431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91696431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91696431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Alle geschäftsführenden Gesellschafter sind befugt,</w:t>
      </w:r>
    </w:p>
    <w:p>
      <w:pPr>
        <w:numPr>
          <w:ilvl w:val="0"/>
          <w:numId w:val="870494554"/>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870494554"/>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870494554"/>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140" w:after="240" w:line="288" w:lineRule="auto"/>
        <w:ind w:left="0" w:right="0"/>
        <w:jc w:val="left"/>
      </w:pPr>
      <w:r>
        <w:rPr>
          <w:rFonts w:ascii="Arial" w:hAnsi="Arial" w:eastAsia="Arial" w:cs="Arial"/>
          <w:color w:val="277DB9"/>
          <w:sz w:val="20"/>
          <w:szCs w:val="20"/>
        </w:rPr>
        <w:t xml:space="preserve">Nicht geschäftsführende Gesellschafter sind berechtigt,</w:t>
      </w:r>
    </w:p>
    <w:p>
      <w:pPr>
        <w:numPr>
          <w:ilvl w:val="0"/>
          <w:numId w:val="30557619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eine Abschrift des Jahresabschlusses und</w:t>
      </w:r>
    </w:p>
    <w:p>
      <w:pPr>
        <w:numPr>
          <w:ilvl w:val="0"/>
          <w:numId w:val="30557619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Richtigkeit des Jahresabschlusses unter Einsichtnahme in
die Bücher und Schriften zu prüfen;</w:t>
      </w:r>
    </w:p>
    <w:p>
      <w:pPr>
        <w:widowControl w:val="on"/>
        <w:pBdr/>
        <w:spacing w:before="140" w:after="240" w:line="288" w:lineRule="auto"/>
        <w:ind w:left="0" w:right="0"/>
        <w:jc w:val="left"/>
      </w:pPr>
      <w:r>
        <w:rPr>
          <w:rFonts w:ascii="Arial" w:hAnsi="Arial" w:eastAsia="Arial" w:cs="Arial"/>
          <w:color w:val="277DB9"/>
          <w:sz w:val="20"/>
          <w:szCs w:val="20"/>
        </w:rPr>
        <w:t xml:space="preserve">weiters kommt den nicht geschäftsführenden Gesellschaftern ein
Auskunftsrecht zu, soweit dies zur Ausübung ihrer
Gesellschafterrechte nötig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 Bestimmung von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Am Schluss jedes Geschäftsjahres wird der Gewinn bzw Verlust des
betreffenden Jahres ermittelt, und zwar</w:t>
      </w:r>
    </w:p>
    <w:p>
      <w:pPr>
        <w:numPr>
          <w:ilvl w:val="0"/>
          <w:numId w:val="305548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des Bestehens einer Rechnungslegungspflicht nach dem
Dritten Buch des Unternehmensgesetzbuches auf Basis des
Jahresabschlusses und</w:t>
      </w:r>
    </w:p>
    <w:p>
      <w:pPr>
        <w:numPr>
          <w:ilvl w:val="0"/>
          <w:numId w:val="3055489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des Nichtbestehens einer solchen Pflicht auf Basis
einer sonstigen Abrechnung.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XVII. Verteilung von Gewinn und Verlust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nach Punkt XVI. ermittelte Gewinn bzw Verlust eines
Geschäftsjahres wird den Gesellschaftern entsprechend den
nachstehenden Bestimmungen zugewiesen:</w:t>
      </w:r>
    </w:p>
    <w:p>
      <w:pPr>
        <w:numPr>
          <w:ilvl w:val="0"/>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Zunächst wird dem Komplementär ein im Hinblick auf die ihn
treffende Aufgabe der Führung der Geschäfte der Gesellschaft
angemessener Teilbetrag des Jahresgewinns zugewiesen.</w:t>
      </w:r>
    </w:p>
    <w:p>
      <w:pPr>
        <w:numPr>
          <w:ilvl w:val="0"/>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Der den genannten Betrag übersteigende Teil des Jahresgewinns
wird den Kommanditisten im Verhältnis ihrer Beteiligung an der
Gesellschaft (Punkt VIII.) zugewiesen, also</w:t>
      </w:r>
      <w:r>
        <w:rPr>
          <w:rFonts w:ascii="Arial" w:hAnsi="Arial" w:eastAsia="Arial" w:cs="Arial"/>
          <w:color w:val="277DB9"/>
          <w:sz w:val="20"/>
          <w:szCs w:val="20"/>
        </w:rPr>
        <w:br/>
        <w:t xml:space="preserve"> 
</w:t>
      </w:r>
    </w:p>
    <w:p>
      <w:pPr>
        <w:numPr>
          <w:ilvl w:val="1"/>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Alfred Anis 50 %,</w:t>
      </w:r>
    </w:p>
    <w:p>
      <w:pPr>
        <w:numPr>
          <w:ilvl w:val="1"/>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Sigfried Süßer 25 % und</w:t>
      </w:r>
    </w:p>
    <w:p>
      <w:pPr>
        <w:numPr>
          <w:ilvl w:val="1"/>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Harald Haube 25 %.</w:t>
      </w:r>
    </w:p>
    <w:p>
      <w:pPr>
        <w:numPr>
          <w:ilvl w:val="0"/>
          <w:numId w:val="31187315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 etwaiger Verlust des Geschäftsjahres wird den
Gesellschaftern im Verhältnis ihrer Beteiligung an der Gesellschaft
zugewiesen.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nach Punkt XVI. ermittelte Gewinn bzw Verlust eines
Geschäftsjahres wird den Gesellschaftern entsprechend dem
Verhältnis ihrer Beteiligung an der Gesellschaft (Punkt VIII.)
zugewiesen, also</w:t>
      </w:r>
    </w:p>
    <w:p>
      <w:pPr>
        <w:numPr>
          <w:ilvl w:val="0"/>
          <w:numId w:val="4258295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Alfred Anis 50 %,</w:t>
      </w:r>
    </w:p>
    <w:p>
      <w:pPr>
        <w:numPr>
          <w:ilvl w:val="0"/>
          <w:numId w:val="4258295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Sigfried Süßer 25 % und</w:t>
      </w:r>
    </w:p>
    <w:p>
      <w:pPr>
        <w:numPr>
          <w:ilvl w:val="0"/>
          <w:numId w:val="4258295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Harald Haube 25 %.</w:t>
      </w:r>
    </w:p>
    <w:p>
      <w:pPr>
        <w:widowControl w:val="on"/>
        <w:pBdr/>
        <w:spacing w:before="140" w:after="240" w:line="288" w:lineRule="auto"/>
        <w:ind w:left="0" w:right="0"/>
        <w:jc w:val="left"/>
      </w:pPr>
      <w:r>
        <w:rPr>
          <w:rFonts w:ascii="Arial" w:hAnsi="Arial" w:eastAsia="Arial" w:cs="Arial"/>
          <w:color w:val="277DB9"/>
          <w:sz w:val="20"/>
          <w:szCs w:val="20"/>
        </w:rPr>
        <w:t xml:space="preserve">Ein etwaiger Verlust des Geschäftsjahres wird den
Gesellschaftern im Verhältnis ihrer Beteiligung an der Gesellschaft
zugewiesen.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XVIII. Recht auf Gewinnauszahlung</w:t>
      </w:r>
    </w:p>
    <w:p>
      <w:pPr>
        <w:widowControl w:val="on"/>
        <w:pBdr/>
        <w:spacing w:before="140" w:after="240" w:line="288" w:lineRule="auto"/>
        <w:ind w:left="0" w:right="0"/>
        <w:jc w:val="left"/>
      </w:pPr>
      <w:r>
        <w:rPr>
          <w:rFonts w:ascii="Arial" w:hAnsi="Arial" w:eastAsia="Arial" w:cs="Arial"/>
          <w:color w:val="000000"/>
          <w:sz w:val="20"/>
          <w:szCs w:val="20"/>
        </w:rPr>
        <w:t xml:space="preserve">Ist einem Gesellschafter ein Gewinnanteil zugewiesen worden, so
hat er einen Anspruch auf dessen Auszahlung.</w:t>
      </w:r>
    </w:p>
    <w:p>
      <w:pPr>
        <w:widowControl w:val="on"/>
        <w:pBdr/>
        <w:spacing w:before="140" w:after="240" w:line="288" w:lineRule="auto"/>
        <w:ind w:left="0" w:right="0"/>
        <w:jc w:val="left"/>
      </w:pPr>
      <w:r>
        <w:rPr>
          <w:rFonts w:ascii="Arial" w:hAnsi="Arial" w:eastAsia="Arial" w:cs="Arial"/>
          <w:color w:val="000000"/>
          <w:sz w:val="20"/>
          <w:szCs w:val="20"/>
        </w:rPr>
        <w:t xml:space="preserve">Der Komplementär kann den bezeichneten Anspruch jedoch nicht
geltend machen soweit</w:t>
      </w:r>
    </w:p>
    <w:p>
      <w:pPr>
        <w:numPr>
          <w:ilvl w:val="0"/>
          <w:numId w:val="31040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Auszahlung zum offenbaren Schaden der Gesellschaft
gereichen würde,</w:t>
      </w:r>
    </w:p>
    <w:p>
      <w:pPr>
        <w:numPr>
          <w:ilvl w:val="0"/>
          <w:numId w:val="31040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 etwas anderes beschließen oder</w:t>
      </w:r>
    </w:p>
    <w:p>
      <w:pPr>
        <w:numPr>
          <w:ilvl w:val="0"/>
          <w:numId w:val="3104050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 der Komplementär, vereinbarungswidrig seine Einlage (Punkt
VIII.) nicht geleistet hat.</w:t>
      </w:r>
    </w:p>
    <w:p>
      <w:pPr>
        <w:widowControl w:val="on"/>
        <w:pBdr/>
        <w:spacing w:before="140" w:after="240" w:line="288" w:lineRule="auto"/>
        <w:ind w:left="0" w:right="0"/>
        <w:jc w:val="left"/>
      </w:pPr>
      <w:r>
        <w:rPr>
          <w:rFonts w:ascii="Arial" w:hAnsi="Arial" w:eastAsia="Arial" w:cs="Arial"/>
          <w:color w:val="000000"/>
          <w:sz w:val="20"/>
          <w:szCs w:val="20"/>
        </w:rPr>
        <w:t xml:space="preserve">Die Kommanditisten können die Auszahlung ihres jeweiligen
Gewinnanteils außerdem auch dann nicht verlangen, soweit die
bedungene Einlage (Punkt VIII.) des betreffenden Kommanditisten</w:t>
      </w:r>
    </w:p>
    <w:p>
      <w:pPr>
        <w:numPr>
          <w:ilvl w:val="0"/>
          <w:numId w:val="270049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nicht geleistet ist oder</w:t>
      </w:r>
    </w:p>
    <w:p>
      <w:pPr>
        <w:numPr>
          <w:ilvl w:val="0"/>
          <w:numId w:val="270049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dem betreffenden Kommanditisten zugewiesene Verluste
unter den auf die bedungene Einlage geleisteten Betrag gemindert
worden ist oder</w:t>
      </w:r>
    </w:p>
    <w:p>
      <w:pPr>
        <w:numPr>
          <w:ilvl w:val="0"/>
          <w:numId w:val="2700491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Auszahlung des Gewinnanteils unter den auf die
bedungene Einlage geleisteten Betrag gemindert würde.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XIX. Gewinnunabhängiges Entnahmerecht
(Aufwendungsersatz/Herausgabepflicht)</w:t>
      </w:r>
    </w:p>
    <w:p>
      <w:pPr>
        <w:widowControl w:val="on"/>
        <w:pBdr/>
        <w:spacing w:before="140" w:after="240" w:line="288" w:lineRule="auto"/>
        <w:ind w:left="0" w:right="0"/>
        <w:jc w:val="left"/>
      </w:pPr>
      <w:r>
        <w:rPr>
          <w:rFonts w:ascii="Arial" w:hAnsi="Arial" w:eastAsia="Arial" w:cs="Arial"/>
          <w:color w:val="000000"/>
          <w:sz w:val="20"/>
          <w:szCs w:val="20"/>
        </w:rPr>
        <w:t xml:space="preserve">Außerhalb des Punktes XVIII. darf ein Gesellschafter Entnahmen
nur mit Einwilligung aller übrigen Gesellschafter tätigen.</w:t>
      </w:r>
    </w:p>
    <w:p>
      <w:pPr>
        <w:widowControl w:val="on"/>
        <w:pBdr/>
        <w:spacing w:before="140" w:after="240" w:line="288" w:lineRule="auto"/>
        <w:ind w:left="0" w:right="0"/>
        <w:jc w:val="left"/>
      </w:pPr>
      <w:r>
        <w:rPr>
          <w:rFonts w:ascii="Arial" w:hAnsi="Arial" w:eastAsia="Arial" w:cs="Arial"/>
          <w:color w:val="000000"/>
          <w:sz w:val="20"/>
          <w:szCs w:val="20"/>
        </w:rPr>
        <w:t xml:space="preserve">Wenn ein Gesellschafter</w:t>
      </w:r>
    </w:p>
    <w:p>
      <w:pPr>
        <w:numPr>
          <w:ilvl w:val="0"/>
          <w:numId w:val="4365403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einer Angelegenheit der Gesellschaft Aufwendungen macht, von
denen er nach den gegebenen Umständen annehmen darf, dass sie
erforderlich sind, oder</w:t>
      </w:r>
    </w:p>
    <w:p>
      <w:pPr>
        <w:numPr>
          <w:ilvl w:val="0"/>
          <w:numId w:val="4365403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unmittelbar durch die von ihm für die Gesellschaft getätigte
Geschäftsführung oder aus Gefahren, die mit dieser Geschäftsführung
untrennbar verbunden sind, Verluste erleidet,</w:t>
      </w:r>
    </w:p>
    <w:p>
      <w:pPr>
        <w:widowControl w:val="on"/>
        <w:pBdr/>
        <w:spacing w:before="140" w:after="240" w:line="288" w:lineRule="auto"/>
        <w:ind w:left="0" w:right="0"/>
        <w:jc w:val="left"/>
      </w:pPr>
      <w:r>
        <w:rPr>
          <w:rFonts w:ascii="Arial" w:hAnsi="Arial" w:eastAsia="Arial" w:cs="Arial"/>
          <w:color w:val="000000"/>
          <w:sz w:val="20"/>
          <w:szCs w:val="20"/>
        </w:rPr>
        <w:t xml:space="preserve">dann kommt dem Gesellschafter ein Ersatzanspruch gegen die
Gesellschaft zu.</w:t>
      </w:r>
    </w:p>
    <w:p>
      <w:pPr>
        <w:widowControl w:val="on"/>
        <w:pBdr/>
        <w:spacing w:before="140" w:after="240" w:line="288" w:lineRule="auto"/>
        <w:ind w:left="0" w:right="0"/>
        <w:jc w:val="left"/>
      </w:pPr>
      <w:r>
        <w:rPr>
          <w:rFonts w:ascii="Arial" w:hAnsi="Arial" w:eastAsia="Arial" w:cs="Arial"/>
          <w:color w:val="000000"/>
          <w:sz w:val="20"/>
          <w:szCs w:val="20"/>
        </w:rPr>
        <w:t xml:space="preserve">Wendet ein Gesellschafter unter den oben umschriebenen
Voraussetzungen für die Gesellschaft Geld auf, so ist dieses Geld
vom Tag seiner Aufwendung an angemessen zu verzinsen.</w:t>
      </w:r>
    </w:p>
    <w:p>
      <w:pPr>
        <w:widowControl w:val="on"/>
        <w:pBdr/>
        <w:spacing w:before="140" w:after="240" w:line="288" w:lineRule="auto"/>
        <w:ind w:left="0" w:right="0"/>
        <w:jc w:val="left"/>
      </w:pPr>
      <w:r>
        <w:rPr>
          <w:rFonts w:ascii="Arial" w:hAnsi="Arial" w:eastAsia="Arial" w:cs="Arial"/>
          <w:color w:val="000000"/>
          <w:sz w:val="20"/>
          <w:szCs w:val="20"/>
        </w:rPr>
        <w:t xml:space="preserve">Für die Tätigung von Aufwendungen, die zur Erledigung von
Gesellschaftsangelegenheiten notwendig sind, kann der
Gesellschafter einen Vorschuss verlangen.</w:t>
      </w:r>
    </w:p>
    <w:p>
      <w:pPr>
        <w:widowControl w:val="on"/>
        <w:pBdr/>
        <w:spacing w:before="140" w:after="240" w:line="288" w:lineRule="auto"/>
        <w:ind w:left="0" w:right="0"/>
        <w:jc w:val="left"/>
      </w:pPr>
      <w:r>
        <w:rPr>
          <w:rFonts w:ascii="Arial" w:hAnsi="Arial" w:eastAsia="Arial" w:cs="Arial"/>
          <w:color w:val="000000"/>
          <w:sz w:val="20"/>
          <w:szCs w:val="20"/>
        </w:rPr>
        <w:t xml:space="preserve">Hat ein Gesellschafter</w:t>
      </w:r>
    </w:p>
    <w:p>
      <w:pPr>
        <w:numPr>
          <w:ilvl w:val="0"/>
          <w:numId w:val="640214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etwas zur Führung von Geschäften der Gesellschaft erhalten
oder</w:t>
      </w:r>
    </w:p>
    <w:p>
      <w:pPr>
        <w:numPr>
          <w:ilvl w:val="0"/>
          <w:numId w:val="640214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 einer solchen Geschäftsführung etwas erlangt,</w:t>
      </w:r>
    </w:p>
    <w:p>
      <w:pPr>
        <w:widowControl w:val="on"/>
        <w:pBdr/>
        <w:spacing w:before="140" w:after="240" w:line="288" w:lineRule="auto"/>
        <w:ind w:left="0" w:right="0"/>
        <w:jc w:val="left"/>
      </w:pPr>
      <w:r>
        <w:rPr>
          <w:rFonts w:ascii="Arial" w:hAnsi="Arial" w:eastAsia="Arial" w:cs="Arial"/>
          <w:color w:val="000000"/>
          <w:sz w:val="20"/>
          <w:szCs w:val="20"/>
        </w:rPr>
        <w:t xml:space="preserve">dann ist er verpflichtet, das Erhaltene bzw Erlangte an die
Gesellschaft herauszugeben.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Der Komplementär vertritt die Gesellschaft selbstständig.</w:t>
      </w:r>
    </w:p>
    <w:p>
      <w:pPr>
        <w:widowControl w:val="on"/>
        <w:pBdr/>
        <w:spacing w:before="140" w:after="240" w:line="288" w:lineRule="auto"/>
        <w:ind w:left="0" w:right="0"/>
        <w:jc w:val="left"/>
      </w:pPr>
      <w:r>
        <w:rPr>
          <w:rFonts w:ascii="Arial" w:hAnsi="Arial" w:eastAsia="Arial" w:cs="Arial"/>
          <w:color w:val="000000"/>
          <w:sz w:val="20"/>
          <w:szCs w:val="20"/>
        </w:rPr>
        <w:t xml:space="preserve">Die Vertretungsmacht erstreckt sich auf alle gerichtlichen und
außergerichtlichen Geschäfte und Rechtshandlungen einschließlich
der Veräußerung und Belastung von Grundstücken sowie der Erteilung
und des Widerrufs einer Prokura.</w:t>
      </w:r>
    </w:p>
    <w:p>
      <w:pPr>
        <w:widowControl w:val="on"/>
        <w:pBdr/>
        <w:spacing w:before="140" w:after="240" w:line="288" w:lineRule="auto"/>
        <w:ind w:left="0" w:right="0"/>
        <w:jc w:val="left"/>
      </w:pPr>
      <w:r>
        <w:rPr>
          <w:rFonts w:ascii="Arial" w:hAnsi="Arial" w:eastAsia="Arial" w:cs="Arial"/>
          <w:color w:val="000000"/>
          <w:sz w:val="20"/>
          <w:szCs w:val="20"/>
        </w:rPr>
        <w:t xml:space="preserve">Nicht von der Vertretungsmacht erfasst sind Geschäfte und
Rechtshandlungen, welche</w:t>
      </w:r>
    </w:p>
    <w:p>
      <w:pPr>
        <w:numPr>
          <w:ilvl w:val="0"/>
          <w:numId w:val="181302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Grundlagen der Gesellschaft betreffen oder</w:t>
      </w:r>
    </w:p>
    <w:p>
      <w:pPr>
        <w:numPr>
          <w:ilvl w:val="0"/>
          <w:numId w:val="1813024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Beziehungen der Gesellschafter untereinander regeln.</w:t>
      </w:r>
    </w:p>
    <w:p>
      <w:pPr>
        <w:widowControl w:val="on"/>
        <w:pBdr/>
        <w:spacing w:before="140" w:after="240" w:line="288" w:lineRule="auto"/>
        <w:ind w:left="0" w:right="0"/>
        <w:jc w:val="left"/>
      </w:pPr>
      <w:r>
        <w:rPr>
          <w:rFonts w:ascii="Arial" w:hAnsi="Arial" w:eastAsia="Arial" w:cs="Arial"/>
          <w:color w:val="000000"/>
          <w:sz w:val="20"/>
          <w:szCs w:val="20"/>
        </w:rPr>
        <w:t xml:space="preserve">Dem Gesellschafter Sigfried Süßer wird Prokura iSd §§ 48 ff
des Unternehmensgesetzbuches erteilt; ausdrücklich wird
festgehalten, dass sich die Prokura nicht auf den in § 49
Absatz 2 des Unternehmensgesetzbuches erstreckt.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Es wird ein zusätzlicher Absatz des Inhalts angefügt:</w:t>
      </w:r>
    </w:p>
    <w:p>
      <w:pPr>
        <w:widowControl w:val="on"/>
        <w:pBdr/>
        <w:spacing w:before="140" w:after="240" w:line="288" w:lineRule="auto"/>
        <w:ind w:left="0" w:right="0"/>
        <w:jc w:val="left"/>
      </w:pPr>
      <w:r>
        <w:rPr>
          <w:rFonts w:ascii="Arial" w:hAnsi="Arial" w:eastAsia="Arial" w:cs="Arial"/>
          <w:color w:val="277DB9"/>
          <w:sz w:val="20"/>
          <w:szCs w:val="20"/>
        </w:rPr>
        <w:t xml:space="preserve">„Dem Gesellschafter Harald Haube wird Prokura iSd §§ 48 ff
des Unternehmensgesetzbuches erteilt; ausdrücklich wird
festgehalten, dass sich die Prokura nicht auf den in § 49
Absatz 2 des Unternehmensgesetzbuches erstreckt.“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 Entziehung der Vertretungsmacht</w:t>
      </w:r>
    </w:p>
    <w:p>
      <w:pPr>
        <w:widowControl w:val="on"/>
        <w:pBdr/>
        <w:spacing w:before="140" w:after="240" w:line="288" w:lineRule="auto"/>
        <w:ind w:left="0" w:right="0"/>
        <w:jc w:val="left"/>
      </w:pPr>
      <w:r>
        <w:rPr>
          <w:rFonts w:ascii="Arial" w:hAnsi="Arial" w:eastAsia="Arial" w:cs="Arial"/>
          <w:color w:val="000000"/>
          <w:sz w:val="20"/>
          <w:szCs w:val="20"/>
        </w:rPr>
        <w:t xml:space="preserve">Einem Komplementär kann die Vertretungsmacht auf Antrag der
übrigen Gesellschafter durch gerichtliche Entscheidung entzogen
werden, wenn ein wichtiger Grund, etwa</w:t>
      </w:r>
    </w:p>
    <w:p>
      <w:pPr>
        <w:numPr>
          <w:ilvl w:val="0"/>
          <w:numId w:val="2090134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grobe Pflichtverletzung durch den Komplementär oder</w:t>
      </w:r>
    </w:p>
    <w:p>
      <w:pPr>
        <w:numPr>
          <w:ilvl w:val="0"/>
          <w:numId w:val="2090134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Unfähigkeit des Komplementärs zur ordnungsgemäßen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vorliegt.</w:t>
      </w:r>
    </w:p>
    <w:p>
      <w:pPr>
        <w:widowControl w:val="on"/>
        <w:pBdr/>
        <w:spacing w:before="140" w:after="240" w:line="288" w:lineRule="auto"/>
        <w:ind w:left="0" w:right="0"/>
        <w:jc w:val="left"/>
      </w:pPr>
      <w:r>
        <w:rPr>
          <w:rFonts w:ascii="Arial" w:hAnsi="Arial" w:eastAsia="Arial" w:cs="Arial"/>
          <w:color w:val="000000"/>
          <w:sz w:val="20"/>
          <w:szCs w:val="20"/>
        </w:rPr>
        <w:t xml:space="preserve">Jeder andere Gesellschafter ist verpflichtet, im Fall des
Vorliegens eines wichtigen Grundes am Verfahren zum Entzug der
Vertretungsmacht des betreffenden Gesellschafters mitzuwirken.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XXII. Haftung der Gesellschafter für Verbindlichkeiten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Für Verbindlichkeiten der Gesellschaft haften die Gesellschafter
den Gläubigern entsprechend den nachstehenden Bestimmungen als
Gesamtschuldner.</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dann, wenn ein Gesellschafter wegen
einer Verbindlichkeit der Gesellschaft in Anspruch genommen wird,
er dem Gläubiger Einwendungen, die nicht in der Person des
Gesellschafters selbst begründet sind, nur insoweit entgegenhalten
kann, als diese Einwendungen von der Gesellschaft erhoben werden
können.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der Gesellschafter die
Befriedigung eines Gläubigers verweigern kann, solange</w:t>
      </w:r>
    </w:p>
    <w:p>
      <w:pPr>
        <w:numPr>
          <w:ilvl w:val="0"/>
          <w:numId w:val="1506963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 das Recht zusteht, das der betreffenden
Verbindlichkeit zugrunde liegende Rechtsgeschäft anzufechten,
oder</w:t>
      </w:r>
    </w:p>
    <w:p>
      <w:pPr>
        <w:numPr>
          <w:ilvl w:val="0"/>
          <w:numId w:val="1506963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Gläubiger sich durch Aufrechnung gegen eine fällige
Forderung der Gesellschaft befriedigen kann.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schließlich, dass die Kommanditisten nur bis
zur Höhe der ins Firmenbuch einzutragenden Haftsummen von jeweils
EUR 20.000,– (zwanzigtausend Euro) von Gläubigern der
Gesellschaft unter den gesetzlichen Bedingungen unmittelbar in
Anspruch genommen werden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XXIII. Austrittskündigung des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Jedem Gesellschafter wird ausdrücklich das Recht eingeräumt,
seine Zugehörigkeit zur Gesellschaft</w:t>
      </w:r>
    </w:p>
    <w:p>
      <w:pPr>
        <w:numPr>
          <w:ilvl w:val="0"/>
          <w:numId w:val="5759798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 Einhaltung einer Kündigungsfrist von sechs Monaten</w:t>
      </w:r>
    </w:p>
    <w:p>
      <w:pPr>
        <w:numPr>
          <w:ilvl w:val="0"/>
          <w:numId w:val="5759798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30.06. oder zum 31.12. eines jeden Kalenderjahres</w:t>
      </w:r>
    </w:p>
    <w:p>
      <w:pPr>
        <w:widowControl w:val="on"/>
        <w:pBdr/>
        <w:spacing w:before="140" w:after="240" w:line="288" w:lineRule="auto"/>
        <w:ind w:left="0" w:right="0"/>
        <w:jc w:val="left"/>
      </w:pPr>
      <w:r>
        <w:rPr>
          <w:rFonts w:ascii="Arial" w:hAnsi="Arial" w:eastAsia="Arial" w:cs="Arial"/>
          <w:color w:val="000000"/>
          <w:sz w:val="20"/>
          <w:szCs w:val="20"/>
        </w:rPr>
        <w:t xml:space="preserve">zu kündigen, dies mit der Wirkung, dass er zum betreffenden
Kündigungstermin als Gesellschafter aus der Gesellschaft
ausscheidet.</w:t>
      </w:r>
    </w:p>
    <w:p>
      <w:pPr>
        <w:widowControl w:val="on"/>
        <w:pBdr/>
        <w:spacing w:before="140" w:after="240" w:line="288" w:lineRule="auto"/>
        <w:ind w:left="0" w:right="0"/>
        <w:jc w:val="left"/>
      </w:pPr>
      <w:r>
        <w:rPr>
          <w:rFonts w:ascii="Arial" w:hAnsi="Arial" w:eastAsia="Arial" w:cs="Arial"/>
          <w:color w:val="000000"/>
          <w:sz w:val="20"/>
          <w:szCs w:val="20"/>
        </w:rPr>
        <w:t xml:space="preserve">Dem ausgeschiedenen Gesellschafter steht ein Abfindungsbetrag
zu. Kommt eine Einigung über den Abfindungsbetrag bzw den
Abtretungspreis nicht zustande, so bestimmt sich dieser anteilig
aus der auf den Stichtag des Ausscheidens zu entrichtenden
Auseinandersetzungsbilanz. In dieser Bilanz sind alle durch die
Inanspruchnahme steuerlicher Investitionsbegünstigungen gebildete
stille Reserven aufzulösen und allfällige unbewegliche
Wirtschaftsgüter des Anlagevermögens mit 70 % (siebzig von
Hundert) des durch einen gerichtlich beeideten Sachverständigen zu
bestimmenden Schätzwertes anzusetzen. Ein Firmenwert (good will)
ist nicht anzusetzen.</w:t>
      </w:r>
    </w:p>
    <w:p>
      <w:pPr>
        <w:widowControl w:val="on"/>
        <w:pBdr/>
        <w:spacing w:before="140" w:after="240" w:line="288" w:lineRule="auto"/>
        <w:ind w:left="0" w:right="0"/>
        <w:jc w:val="left"/>
      </w:pPr>
      <w:r>
        <w:rPr>
          <w:rFonts w:ascii="Arial" w:hAnsi="Arial" w:eastAsia="Arial" w:cs="Arial"/>
          <w:color w:val="000000"/>
          <w:sz w:val="20"/>
          <w:szCs w:val="20"/>
        </w:rPr>
        <w:t xml:space="preserve">Das Abfindungsguthaben ist in fünf gleich bleibenden
Jahresraten, die erste Rate beginnend ein Jahr nach dem
Ausscheidungsstichtag, an den ausscheidenden Gesellschafter bzw
dessen Rechtsnachfolger auszuzahlen. Die Ratenzahlungen sind
wertgesichert auf der Basis des vom österreichischen statistischen
Zentralamt in Wien zu verlautbarenden Verbraucherpreisindex 2005 zu
leisten. Sollte dieser Index nicht mehr erscheinen, hat der an
dessen Stelle tretende Index für die Valorisierungsberechnung zu
gelten. Sollte auch ein solcher nicht mehr veröffentlicht werden,
ist ein ähnlicher Wertmesser nach Wahl des Übernehmers des
Gesellschaftsanteils festzulegen.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solcher Geschäfte, die im Zeitpunkt des
Ausscheidens des betreffenden Gesellschafters in Schwebe sind,
gilt:</w:t>
      </w:r>
    </w:p>
    <w:p>
      <w:pPr>
        <w:widowControl w:val="on"/>
        <w:pBdr/>
        <w:spacing w:before="140" w:after="240" w:line="288" w:lineRule="auto"/>
        <w:ind w:left="0" w:right="0"/>
        <w:jc w:val="left"/>
      </w:pPr>
      <w:r>
        <w:rPr>
          <w:rFonts w:ascii="Arial" w:hAnsi="Arial" w:eastAsia="Arial" w:cs="Arial"/>
          <w:color w:val="000000"/>
          <w:sz w:val="20"/>
          <w:szCs w:val="20"/>
        </w:rPr>
        <w:t xml:space="preserve">Der ausgeschiedene Gesellschafter nimmt am Gewinn und am Verlust
teil, der sich aus den zur Zeit seines Ausscheidens schwebenden
Geschäften ergibt. Die Gesellschaft ist berechtigt, diese Geschäfte
so zu beenden, wie es ihr am vorteilhaftesten erscheint.</w:t>
      </w:r>
    </w:p>
    <w:p>
      <w:pPr>
        <w:widowControl w:val="on"/>
        <w:pBdr/>
        <w:spacing w:before="140" w:after="240" w:line="288" w:lineRule="auto"/>
        <w:ind w:left="0" w:right="0"/>
        <w:jc w:val="left"/>
      </w:pPr>
      <w:r>
        <w:rPr>
          <w:rFonts w:ascii="Arial" w:hAnsi="Arial" w:eastAsia="Arial" w:cs="Arial"/>
          <w:color w:val="000000"/>
          <w:sz w:val="20"/>
          <w:szCs w:val="20"/>
        </w:rPr>
        <w:t xml:space="preserve">Der ausgeschiedene Gesellschafter kann am Schluss jedes
Geschäftsjahres Rechenschaft über die inzwischen beendeten
Geschäfte, Auszahlung des ihm gebührenden Betrages und Auskunft
über den Stand der noch schwebenden Geschäfte verlangen.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XXIV. Übertragung von Gesellschaftsanteilen</w:t>
      </w:r>
    </w:p>
    <w:p>
      <w:pPr>
        <w:widowControl w:val="on"/>
        <w:pBdr/>
        <w:spacing w:before="140" w:after="240" w:line="288" w:lineRule="auto"/>
        <w:ind w:left="0" w:right="0"/>
        <w:jc w:val="left"/>
      </w:pPr>
      <w:r>
        <w:rPr>
          <w:rFonts w:ascii="Arial" w:hAnsi="Arial" w:eastAsia="Arial" w:cs="Arial"/>
          <w:color w:val="000000"/>
          <w:sz w:val="20"/>
          <w:szCs w:val="20"/>
        </w:rPr>
        <w:t xml:space="preserve">Die Übertragung, Teilung oder Belastung eines
Gesellschaftsanteils ist mit Zustimmung durch einstimmigen
Gesellschafterbeschluss möglich.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 Auflösung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auf unbestimmte Zeit errichtete (Punkt VI.) Gesellschaft
wird aufgelöst:</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Beschluss der Gesellschafter;</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Eröffnung des Konkurses über das Vermögen der
Gesellschaft oder durch die rechtskräftige Nichteröffnung oder
Aufhebung des Insolvenzverfahrens mangels kostendeckenden
Vermögens;</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Tod des Komplementärs;</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Eröffnung des Konkurses über das Vermögen eines
Gesellschafters oder durch die rechtskräftige Nichteröffnung oder
Aufhebung des Insolvenzverfahrens mangels kostendeckenden
Vermögens;</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Kündigung (Punkt XXVI.);</w:t>
      </w:r>
    </w:p>
    <w:p>
      <w:pPr>
        <w:numPr>
          <w:ilvl w:val="0"/>
          <w:numId w:val="731060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gerichtliche Entscheidung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 Auflösung durch ordentliche Kündigung seitens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hat das Recht, die Gesellschaft</w:t>
      </w:r>
    </w:p>
    <w:p>
      <w:pPr>
        <w:numPr>
          <w:ilvl w:val="0"/>
          <w:numId w:val="8353325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 Einhaltung einer sechsmonatigen Frist</w:t>
      </w:r>
    </w:p>
    <w:p>
      <w:pPr>
        <w:numPr>
          <w:ilvl w:val="0"/>
          <w:numId w:val="8353325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jeweils zum Ende eines Geschäftsjahres zu kündigen,</w:t>
      </w:r>
    </w:p>
    <w:p>
      <w:pPr>
        <w:widowControl w:val="on"/>
        <w:pBdr/>
        <w:spacing w:before="140" w:after="240" w:line="288" w:lineRule="auto"/>
        <w:ind w:left="0" w:right="0"/>
        <w:jc w:val="left"/>
      </w:pPr>
      <w:r>
        <w:rPr>
          <w:rFonts w:ascii="Arial" w:hAnsi="Arial" w:eastAsia="Arial" w:cs="Arial"/>
          <w:color w:val="000000"/>
          <w:sz w:val="20"/>
          <w:szCs w:val="20"/>
        </w:rPr>
        <w:t xml:space="preserve">dies mit der Wirkung, dass die Gesellschaft zum Kündigungstermin
aufgelöst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XXVII. Auflösung durch gerichtliche Entscheidung</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ist berechtigt, die Auflösung der
Gesellschaft durch gerichtliche Entscheidung zu verlangen, wenn ein
wichtiger Grund vorliegt, insbesondere wenn</w:t>
      </w:r>
    </w:p>
    <w:p>
      <w:pPr>
        <w:numPr>
          <w:ilvl w:val="0"/>
          <w:numId w:val="695308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anderer Gesellschafter eine ihm nach dem
Gesellschaftsvertrag obliegende wesentliche Verpflichtung
vorsätzlich oder grob fahrlässig verletzt oder</w:t>
      </w:r>
    </w:p>
    <w:p>
      <w:pPr>
        <w:numPr>
          <w:ilvl w:val="0"/>
          <w:numId w:val="695308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Erfüllung einer solchen Verpflichtung eines anderen
Gesellschafters unmöglich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XXVIII. Liquidation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Ist die Gesellschaft aufgelöst worden, so findet – sofern nicht
über das Vermögen der Gesellschaft der Konkurs eröffnet ist – die
Liquidation statt, in deren Zuge</w:t>
      </w:r>
    </w:p>
    <w:p>
      <w:pPr>
        <w:numPr>
          <w:ilvl w:val="0"/>
          <w:numId w:val="648677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laufende Geschäfte beendet,</w:t>
      </w:r>
    </w:p>
    <w:p>
      <w:pPr>
        <w:numPr>
          <w:ilvl w:val="0"/>
          <w:numId w:val="648677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Forderungen eingezogen,</w:t>
      </w:r>
    </w:p>
    <w:p>
      <w:pPr>
        <w:numPr>
          <w:ilvl w:val="0"/>
          <w:numId w:val="648677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übrigen Vermögenswerte in Geld umgesetzt,</w:t>
      </w:r>
    </w:p>
    <w:p>
      <w:pPr>
        <w:numPr>
          <w:ilvl w:val="0"/>
          <w:numId w:val="648677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Gläubiger befriedigt und</w:t>
      </w:r>
    </w:p>
    <w:p>
      <w:pPr>
        <w:numPr>
          <w:ilvl w:val="0"/>
          <w:numId w:val="6486777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verbleibenden Geldmittel unter die Gesellschafter
entsprechend dem Verhältnis der Beteiligung derselben an der
Gesellschaft (Punkt VIII.) sowie unter Berücksichtigung der
Guthaben und Verbindlichkeiten der Gesellschafter aus dem
Gesellschaftsverhältnis verteilt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Liquidation erfolgt durch sämtliche Gesellschafter als
Liquidatoren.</w:t>
      </w:r>
    </w:p>
    <w:p>
      <w:pPr>
        <w:widowControl w:val="on"/>
        <w:pBdr/>
        <w:spacing w:before="140" w:after="240" w:line="288" w:lineRule="auto"/>
        <w:ind w:left="0" w:right="0"/>
        <w:jc w:val="left"/>
      </w:pPr>
      <w:r>
        <w:rPr>
          <w:rFonts w:ascii="Arial" w:hAnsi="Arial" w:eastAsia="Arial" w:cs="Arial"/>
          <w:color w:val="000000"/>
          <w:sz w:val="20"/>
          <w:szCs w:val="20"/>
        </w:rPr>
        <w:t xml:space="preserve">Wenn</w:t>
      </w:r>
    </w:p>
    <w:p>
      <w:pPr>
        <w:numPr>
          <w:ilvl w:val="0"/>
          <w:numId w:val="582685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zumindest ein Gesellschafter aus dem Gesellschaftsverhältnis
ein Guthaben aufweist,</w:t>
      </w:r>
    </w:p>
    <w:p>
      <w:pPr>
        <w:numPr>
          <w:ilvl w:val="0"/>
          <w:numId w:val="582685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zumindest ein Gesellschafter aus dem Gesellschaftsverhältnis
eine Verbindlichkeit aufweist und</w:t>
      </w:r>
    </w:p>
    <w:p>
      <w:pPr>
        <w:numPr>
          <w:ilvl w:val="0"/>
          <w:numId w:val="5826856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Gesellschaftsvermögen nicht dazu ausreicht, das eingangs
bezeichnete Guthaben (die eingangs bezeichneten Guthaben) zu
decken,</w:t>
      </w:r>
    </w:p>
    <w:p>
      <w:pPr>
        <w:widowControl w:val="on"/>
        <w:pBdr/>
        <w:spacing w:before="140" w:after="240" w:line="288" w:lineRule="auto"/>
        <w:ind w:left="0" w:right="0"/>
        <w:jc w:val="left"/>
      </w:pPr>
      <w:r>
        <w:rPr>
          <w:rFonts w:ascii="Arial" w:hAnsi="Arial" w:eastAsia="Arial" w:cs="Arial"/>
          <w:color w:val="000000"/>
          <w:sz w:val="20"/>
          <w:szCs w:val="20"/>
        </w:rPr>
        <w:t xml:space="preserve">dann ist jener Gesellschafter (sind jene Gesellschafter), den
(die) eine Verbindlichkeit trifft, verpflichtet, für den Fehlbetrag
nach seiner Verbindlichkeit (im Verhältnis ihrer Verbindlichkeiten)
aufzukommen; soweit ein Kommanditist die bedungene Einlage (Punkt
VIII.) geleistet hat, ist er zum Ersatz von Fehlbeträgen nicht
verpflichtet.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XXIX.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dieses Vertrages und der Eintragung der
Gesellschaft verbundenen Kosten und Abgaben trägt die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Unwirksamkeit einer oder einzelner Vertragsbestimmungen hat
nicht die Unwirksamkeit des gesamten Vertrages oder des
betreffenden Vertragspunktes zur Folge. Anstelle der unwirksamen
Bestimmungen hat eine dem Willen der Vertragsteile möglichst nahe
kommende Bestimmung und, falls diese nicht ermittelt werden kann,
die gesetzliche Regelung zu gelten.</w:t>
      </w:r>
    </w:p>
    <w:p>
      <w:pPr>
        <w:widowControl w:val="on"/>
        <w:pBdr/>
        <w:spacing w:before="140" w:after="240" w:line="288" w:lineRule="auto"/>
        <w:ind w:left="0" w:right="0"/>
        <w:jc w:val="left"/>
      </w:pPr>
      <w:r>
        <w:rPr>
          <w:rFonts w:ascii="Arial" w:hAnsi="Arial" w:eastAsia="Arial" w:cs="Arial"/>
          <w:color w:val="000000"/>
          <w:sz w:val="20"/>
          <w:szCs w:val="20"/>
        </w:rPr>
        <w:t xml:space="preserve">Die Bestimmungen des Vertrages sind so auszulegen und
handzuhaben, dass der Bestand des Unternehmens möglichst gewahrt
bleibt. Besteht zwischen den derzeitigen Gesellschaftern und
Rechtsnachfolgern der heutigen Gesellschafter eine
Meinungsverschiedenheit über den Sinn einzelner Vertragspunkte, so
hat die Ansicht der Altgesellschafter, sofern sie einhellig ist,
als dem Vertragswillen entsprechend zu gelten.</w:t>
      </w:r>
    </w:p>
    <w:p>
      <w:pPr>
        <w:widowControl w:val="on"/>
        <w:pBdr/>
        <w:spacing w:before="140" w:after="240" w:line="288" w:lineRule="auto"/>
        <w:ind w:left="0" w:right="0"/>
        <w:jc w:val="left"/>
      </w:pPr>
      <w:r>
        <w:rPr>
          <w:rFonts w:ascii="Arial" w:hAnsi="Arial" w:eastAsia="Arial" w:cs="Arial"/>
          <w:color w:val="000000"/>
          <w:sz w:val="20"/>
          <w:szCs w:val="20"/>
        </w:rPr>
        <w:t xml:space="preserve">Diesen Vertrag ergänzende oder abändernde mündliche
Vereinbarungen oder Nebenabreden bestehen nicht. Änderungen oder
Ergänzungen dieses Vertrages bedürfen zu ihrer Wirksamkeit der
Einhaltung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…[Datum], am … [Datum]</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Alfred Anis</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Sigfried Süßer</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Harald Haube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Zur Ausgangssituation</w:t>
      </w:r>
    </w:p>
    <w:p>
      <w:pPr>
        <w:widowControl w:val="on"/>
        <w:pBdr/>
        <w:spacing w:before="140" w:after="240" w:line="288" w:lineRule="auto"/>
        <w:ind w:left="0" w:right="0"/>
        <w:jc w:val="left"/>
      </w:pPr>
      <w:r>
        <w:rPr>
          <w:rFonts w:ascii="Arial" w:hAnsi="Arial" w:eastAsia="Arial" w:cs="Arial"/>
          <w:color w:val="000000"/>
          <w:sz w:val="20"/>
          <w:szCs w:val="20"/>
        </w:rPr>
        <w:t xml:space="preserve">Herr Alfred Anis ist Gastronom und Inhaber einer
Gewerbeberechtigung für das reglementierte Gewerbe „Gastgewerbe“
gem § 94 Z 28 der Gewerbeordnung; er betreibt als
nicht protokollierter Einzelunternehmer die Gastwirtschaft „Zum
goldenen Kochlöffel“.</w:t>
      </w:r>
    </w:p>
    <w:p>
      <w:pPr>
        <w:widowControl w:val="on"/>
        <w:pBdr/>
        <w:spacing w:before="140" w:after="240" w:line="288" w:lineRule="auto"/>
        <w:ind w:left="0" w:right="0"/>
        <w:jc w:val="left"/>
      </w:pPr>
      <w:r>
        <w:rPr>
          <w:rFonts w:ascii="Arial" w:hAnsi="Arial" w:eastAsia="Arial" w:cs="Arial"/>
          <w:color w:val="000000"/>
          <w:sz w:val="20"/>
          <w:szCs w:val="20"/>
        </w:rPr>
        <w:t xml:space="preserve">Herrn Anis wird vom Hauseigentümer die Möglichkeit geboten, auch
das der Gastwirtschaft benachbarte Lokal anzumieten. Herr Anis
könnte sich vorstellen, in einem großen verbundenen Lokal eine
Gastwirtschaft und eine Konditorei zu betreiben; dafür fehlen ihm
allerdings vier Dinge:</w:t>
      </w:r>
    </w:p>
    <w:p>
      <w:pPr>
        <w:numPr>
          <w:ilvl w:val="0"/>
          <w:numId w:val="1130241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Gewerbeberechtigung als Konditor,</w:t>
      </w:r>
    </w:p>
    <w:p>
      <w:pPr>
        <w:numPr>
          <w:ilvl w:val="0"/>
          <w:numId w:val="1130241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Konditoreiausstattung,</w:t>
      </w:r>
    </w:p>
    <w:p>
      <w:pPr>
        <w:numPr>
          <w:ilvl w:val="0"/>
          <w:numId w:val="1130241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Geld und</w:t>
      </w:r>
    </w:p>
    <w:p>
      <w:pPr>
        <w:numPr>
          <w:ilvl w:val="0"/>
          <w:numId w:val="1130241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tüchtiger Restaurantmanager.</w:t>
      </w:r>
    </w:p>
    <w:p>
      <w:pPr>
        <w:widowControl w:val="on"/>
        <w:pBdr/>
        <w:spacing w:before="140" w:after="240" w:line="288" w:lineRule="auto"/>
        <w:ind w:left="0" w:right="0"/>
        <w:jc w:val="left"/>
      </w:pPr>
      <w:r>
        <w:rPr>
          <w:rFonts w:ascii="Arial" w:hAnsi="Arial" w:eastAsia="Arial" w:cs="Arial"/>
          <w:color w:val="000000"/>
          <w:sz w:val="20"/>
          <w:szCs w:val="20"/>
        </w:rPr>
        <w:t xml:space="preserve">Herr Sigfried Süßer ist Konditormeister und hat bis vor kurzem
seine eigene Konditorei betrieben; da er von seinem Onkel mehrere
Mietshäuser geerbt hat, von deren Erträgen er nicht allzu schlecht
leben kann, hat er seinen Betrieb geschlossen; die
Konditorei-Ausstattung „gammelt“ vor sich hin und Herr Süßer, der
an sich immer gerne als Konditor tätig war, will sich zwar nicht
unbedingt wieder eine Einzelunternehmer-Tätigkeit antun, ist als
reiner Privatier aber auch nicht wirklich glücklich.</w:t>
      </w:r>
    </w:p>
    <w:p>
      <w:pPr>
        <w:widowControl w:val="on"/>
        <w:pBdr/>
        <w:spacing w:before="140" w:after="240" w:line="288" w:lineRule="auto"/>
        <w:ind w:left="0" w:right="0"/>
        <w:jc w:val="left"/>
      </w:pPr>
      <w:r>
        <w:rPr>
          <w:rFonts w:ascii="Arial" w:hAnsi="Arial" w:eastAsia="Arial" w:cs="Arial"/>
          <w:color w:val="000000"/>
          <w:sz w:val="20"/>
          <w:szCs w:val="20"/>
        </w:rPr>
        <w:t xml:space="preserve">Herr Harald Haube hat mit Erfolg die Hotelfachschule besucht und
sich einige Zeit als angestellter Restaurantmanager betätigt; er
hat EUR 20.000,– gespart und möchte in „seinem eigenen“
Restaurant arbeiten; allerdings sind EUR 20.000,– für einen
sinnvollen Restaurant-Start als Einzelunternehmer nicht wirklich
hinreichend.</w:t>
      </w:r>
    </w:p>
    <w:p>
      <w:pPr>
        <w:widowControl w:val="on"/>
        <w:pBdr/>
        <w:spacing w:before="140" w:after="240" w:line="288" w:lineRule="auto"/>
        <w:ind w:left="0" w:right="0"/>
        <w:jc w:val="left"/>
      </w:pPr>
      <w:r>
        <w:rPr>
          <w:rFonts w:ascii="Arial" w:hAnsi="Arial" w:eastAsia="Arial" w:cs="Arial"/>
          <w:color w:val="000000"/>
          <w:sz w:val="20"/>
          <w:szCs w:val="20"/>
        </w:rPr>
        <w:t xml:space="preserve">Die drei Herren lernen einander kennen und beschließen, ihre
Wünsche gemeinsam zu realisieren, und zwar durch die Gründung einer
Personengesellschaft. Da nur Alfred Anis ein risikofreudiger
Unternehmertyp ist und die beiden anderen zwar vorhandenes Kapital
einsetzen, aber nicht für etwaige Gesellschaftsschulden
unbeschränkt haften wollen, wählt man die Rechtsform der
Kommanditgesellschaft, wobei Alfred Anis die Rolle des
Komplementärs übernehmen soll, während Sigfried Süßer und Harald
Haube als Kommanditisten fungieren sollen.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 des Vertragsmusters
(Präambel/Vertragsparteien)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Präambel hat insbesondere die Funktion,</w:t>
      </w:r>
    </w:p>
    <w:p>
      <w:pPr>
        <w:numPr>
          <w:ilvl w:val="0"/>
          <w:numId w:val="5429496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vertragswesentlichen Eigenschaften der Parteien darzulegen
(dies unter anderem auch als Basis für mögliche künftige Haftungen)
und</w:t>
      </w:r>
    </w:p>
    <w:p>
      <w:pPr>
        <w:numPr>
          <w:ilvl w:val="0"/>
          <w:numId w:val="5429496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Zielsetzungen, die von den Parteien mit dem Vertrag
verbunden werden, aufzuzeigen, dies insbesondere als Hilfsmittel
für die Interpretation des Vertrages.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II. des Vertragsmusters (Errichtung der
Gesellschaft/Firma)</w:t>
      </w:r>
    </w:p>
    <w:p>
      <w:pPr>
        <w:widowControl w:val="on"/>
        <w:pBdr/>
        <w:spacing w:before="140" w:after="240" w:line="288" w:lineRule="auto"/>
        <w:ind w:left="0" w:right="0"/>
        <w:jc w:val="left"/>
      </w:pPr>
      <w:r>
        <w:rPr>
          <w:rFonts w:ascii="Arial" w:hAnsi="Arial" w:eastAsia="Arial" w:cs="Arial"/>
          <w:color w:val="000000"/>
          <w:sz w:val="20"/>
          <w:szCs w:val="20"/>
        </w:rPr>
        <w:t xml:space="preserve">Da gem § 20 UGB in der Firma einer
Personengesellschaft der Name einer anderen Person als eines
unbeschränkt haftenden Gesellschafters nicht vorkommen darf, findet
sich in der Firma der hiergegenständlichen Kommanditgesellschaft
nur der Name des Komplementärs Alfred Anis.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III. des Vertragsmusters (Sitz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hiergegenständliche Kommanditgesellschaft soll ihren Sitz in
dem Lokal haben, zu dessen Betrieb sie errichtet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IV. des Vertragsmusters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Der Unternehmensgegenstand der Gesellschaft wird unter
Bezugnahme auf die vom Umfang der zu betreibenden Gewerbe erfassten
Tätigkeiten definiert.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VIII. des Vertragsmusters
(Einlagen/Kapitalanteile)</w:t>
      </w:r>
    </w:p>
    <w:p>
      <w:pPr>
        <w:widowControl w:val="on"/>
        <w:pBdr/>
        <w:spacing w:before="140" w:after="240" w:line="288" w:lineRule="auto"/>
        <w:ind w:left="0" w:right="0"/>
        <w:jc w:val="left"/>
      </w:pPr>
      <w:r>
        <w:rPr>
          <w:rFonts w:ascii="Arial" w:hAnsi="Arial" w:eastAsia="Arial" w:cs="Arial"/>
          <w:color w:val="000000"/>
          <w:sz w:val="20"/>
          <w:szCs w:val="20"/>
        </w:rPr>
        <w:t xml:space="preserve">Als Einlagen kommen grundsätzlich</w:t>
      </w:r>
    </w:p>
    <w:p>
      <w:pPr>
        <w:numPr>
          <w:ilvl w:val="0"/>
          <w:numId w:val="296530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Bareinlagen (auch in Gestalt der Aufrechnung mit einer
Geldforderung des betreffenden Gesellschafters gegen eine
Geldforderung der Gesellschaft) und</w:t>
      </w:r>
    </w:p>
    <w:p>
      <w:pPr>
        <w:numPr>
          <w:ilvl w:val="0"/>
          <w:numId w:val="296530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Sacheinlagen</w:t>
      </w:r>
    </w:p>
    <w:p>
      <w:pPr>
        <w:widowControl w:val="on"/>
        <w:pBdr/>
        <w:spacing w:before="140" w:after="240" w:line="288" w:lineRule="auto"/>
        <w:ind w:left="0" w:right="0"/>
        <w:jc w:val="left"/>
      </w:pPr>
      <w:r>
        <w:rPr>
          <w:rFonts w:ascii="Arial" w:hAnsi="Arial" w:eastAsia="Arial" w:cs="Arial"/>
          <w:color w:val="000000"/>
          <w:sz w:val="20"/>
          <w:szCs w:val="20"/>
        </w:rPr>
        <w:t xml:space="preserve">in Betracht.</w:t>
      </w:r>
    </w:p>
    <w:p>
      <w:pPr>
        <w:widowControl w:val="on"/>
        <w:pBdr/>
        <w:spacing w:before="140" w:after="240" w:line="288" w:lineRule="auto"/>
        <w:ind w:left="0" w:right="0"/>
        <w:jc w:val="left"/>
      </w:pPr>
      <w:r>
        <w:rPr>
          <w:rFonts w:ascii="Arial" w:hAnsi="Arial" w:eastAsia="Arial" w:cs="Arial"/>
          <w:color w:val="000000"/>
          <w:sz w:val="20"/>
          <w:szCs w:val="20"/>
        </w:rPr>
        <w:t xml:space="preserve">Sacheinlagen können Vermögenswerte – körperliche wie auch
nicht-körperliche Sachen jeglicher Art – sein, wie zB Grundstücke,
Maschinen, Waren, Patent- bzw Lizenzrechte, Markenrechte, ein
Betrieb oder auch ein komplettes lebendes Unternehmen.</w:t>
      </w:r>
    </w:p>
    <w:p>
      <w:pPr>
        <w:widowControl w:val="on"/>
        <w:pBdr/>
        <w:spacing w:before="140" w:after="240" w:line="288" w:lineRule="auto"/>
        <w:ind w:left="0" w:right="0"/>
        <w:jc w:val="left"/>
      </w:pPr>
      <w:r>
        <w:rPr>
          <w:rFonts w:ascii="Arial" w:hAnsi="Arial" w:eastAsia="Arial" w:cs="Arial"/>
          <w:color w:val="000000"/>
          <w:sz w:val="20"/>
          <w:szCs w:val="20"/>
        </w:rPr>
        <w:t xml:space="preserve">Eine Sonderregelung bezüglich der Frage von Dienstleistungen der
Gesellschafter als Einlagen enthält § 109 Abs 2 UGB;
danach kann die Einlage eines Gesellschafters auch in der Leistung
von Diensten bestehen. Ist ein Gesellschafter zur Leistung von
Diensten verpflichtet, so ist im Zweifel aber nicht anzunehmen,
dass ihm dafür eine Beteiligung an der Gesellschaft gewährt wird;
er hat dann nur einen Anspruch auf den Gewinn.</w:t>
      </w:r>
    </w:p>
    <w:p>
      <w:pPr>
        <w:widowControl w:val="on"/>
        <w:pBdr/>
        <w:spacing w:before="140" w:after="240" w:line="288" w:lineRule="auto"/>
        <w:ind w:left="0" w:right="0"/>
        <w:jc w:val="left"/>
      </w:pPr>
      <w:r>
        <w:rPr>
          <w:rFonts w:ascii="Arial" w:hAnsi="Arial" w:eastAsia="Arial" w:cs="Arial"/>
          <w:color w:val="000000"/>
          <w:sz w:val="20"/>
          <w:szCs w:val="20"/>
        </w:rPr>
        <w:t xml:space="preserve">Demnach kann – anders als bei einer Kapitalgesellschaft – bei
einer Kommanditgesellschaft auch eine Dienstleistung als Einlage
des betreffenden Gesellschafters vereinbart werden; im Gegensatz zu
sonstigen Sacheinlagen kommt es allerdings im Fall der
Dienstleistung nicht automatisch zu einer Einbeziehung der Einlage
in die Bestimmung des Beteiligungsverhältnisses, sondern der bloße
„Arbeitsgesellschafter hat grundsätzlich nur Anspruch auf einen
Anteil am Gewinn, nicht aber Anspruch auf ein
Auseinandersetzungsguthaben oder einen Anteil am Liquidationserlös
(er wird also – wirtschaftlich gesehen – wie ein Angestellter
behandelt, der eine Dienstleistung erbringt und dafür ein „Gehalt“
in Gestalt einer Gewinnbeteiligung erhält); vertragstechnisch ist
wichtig, dass dann, wenn der Arbeitsgesellschafter auch
vermögensmäßig an der Gesellschaft beteiligt sein soll, dieser im
Vertrag festgelegt werden muss.</w:t>
      </w:r>
    </w:p>
    <w:p>
      <w:pPr>
        <w:widowControl w:val="on"/>
        <w:pBdr/>
        <w:spacing w:before="140" w:after="240" w:line="288" w:lineRule="auto"/>
        <w:ind w:left="0" w:right="0"/>
        <w:jc w:val="left"/>
      </w:pPr>
      <w:r>
        <w:rPr>
          <w:rFonts w:ascii="Arial" w:hAnsi="Arial" w:eastAsia="Arial" w:cs="Arial"/>
          <w:color w:val="000000"/>
          <w:sz w:val="20"/>
          <w:szCs w:val="20"/>
        </w:rPr>
        <w:t xml:space="preserve">Die Leistung der Einlagen erfolgt durch Übertragung der
betreffenden Einlagengegenstände in die Rechtszuständigkeit der
Gesellschaft; dafür bestehen drei Möglichkeiten:</w:t>
      </w:r>
    </w:p>
    <w:p>
      <w:pPr>
        <w:numPr>
          <w:ilvl w:val="0"/>
          <w:numId w:val="90897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dominium:</w:t>
      </w:r>
      <w:r>
        <w:rPr>
          <w:rFonts w:ascii="Arial" w:hAnsi="Arial" w:eastAsia="Arial" w:cs="Arial"/>
          <w:color w:val="000000"/>
          <w:sz w:val="20"/>
          <w:szCs w:val="20"/>
        </w:rPr>
        <w:br/>
        <w:t xml:space="preserve">Die eingebrachte Sache geht in das Eigentum der Gesellschaft über;
der einbringende Gesellschafter verliert sein Eigentum zur Gänze
(selbständiges Eigentumsrecht der Gesellschaft am
Gesellschaftsvermögen, kein Miteigentum der Gesellschafter!).</w:t>
      </w:r>
    </w:p>
    <w:p>
      <w:pPr>
        <w:numPr>
          <w:ilvl w:val="0"/>
          <w:numId w:val="90897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usum:</w:t>
      </w:r>
      <w:r>
        <w:rPr>
          <w:rFonts w:ascii="Arial" w:hAnsi="Arial" w:eastAsia="Arial" w:cs="Arial"/>
          <w:color w:val="000000"/>
          <w:sz w:val="20"/>
          <w:szCs w:val="20"/>
        </w:rPr>
        <w:br/>
        <w:t xml:space="preserve">Der Gesellschafter überlässt die Sache der Gesellschaft lediglich
zur Nutzung (die Einlage besteht also nicht in dem Gegenstand
selbst, sondern nur in dem Recht, diesen zu nutzen, ähnlich wie bei
einem Mietvertrag); das Eigentumsrecht des Gesellschafters an der
Sache bleibt erhalten, im Falle des Ausscheidens des
Gesellschafters aus der Gesellschaft ist die Sache dem
Gesellschafter zurückzugeben (§ 137 Abs 1 UGB).</w:t>
      </w:r>
    </w:p>
    <w:p>
      <w:pPr>
        <w:numPr>
          <w:ilvl w:val="0"/>
          <w:numId w:val="90897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sortem:</w:t>
      </w:r>
      <w:r>
        <w:rPr>
          <w:rFonts w:ascii="Arial" w:hAnsi="Arial" w:eastAsia="Arial" w:cs="Arial"/>
          <w:color w:val="000000"/>
          <w:sz w:val="20"/>
          <w:szCs w:val="20"/>
        </w:rPr>
        <w:br/>
        <w:t xml:space="preserve">Die eingebrachte Sache verbleibt im Eigentum des betreffenden
Gesellschafters; sie ist jedoch im Innenverhältnis der
Gesellschafter so zu behandeln, als stünde sie im Eigentum der
Gesellschaft. Diese Trennung von sachenrechtlicher und
schuldrechtlicher Zuordnung hat zur Folge, dass
</w:t>
      </w:r>
    </w:p>
    <w:p>
      <w:pPr>
        <w:numPr>
          <w:ilvl w:val="1"/>
          <w:numId w:val="90897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Außenverhältnis der einbringende Gesellschafter als
Eigentümer dispositionsbefähigt bleibt, also zB die Sache an Dritte
verkaufen oder verpfänden kann,</w:t>
      </w:r>
    </w:p>
    <w:p>
      <w:pPr>
        <w:numPr>
          <w:ilvl w:val="1"/>
          <w:numId w:val="908971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Innenverhältnis dagegen nur die geschäftsführenden
Gesellschafter entscheidungsbefugt sind; sie könnten also dem
einbringenden Gesellschafter zB die Verpfändung der eingebrachten
Sache untersagen (was allerdings gegenüber dem gutgläubigen
Pfandnehmer irrelevant wäre).</w:t>
      </w:r>
    </w:p>
    <w:p>
      <w:pPr>
        <w:widowControl w:val="on"/>
        <w:pBdr/>
        <w:spacing w:before="140" w:after="240" w:line="288" w:lineRule="auto"/>
        <w:ind w:left="0" w:right="0"/>
        <w:jc w:val="left"/>
      </w:pPr>
      <w:r>
        <w:rPr>
          <w:rFonts w:ascii="Arial" w:hAnsi="Arial" w:eastAsia="Arial" w:cs="Arial"/>
          <w:color w:val="000000"/>
          <w:sz w:val="20"/>
          <w:szCs w:val="20"/>
        </w:rPr>
        <w:t xml:space="preserve">Die in § 109 Abs 1 UGB vorgesehene Bestimmung des
Beteiligungsverhältnisses entsprechend dem Verhältnis des Wertes
der vereinbarten Einlagen setzt naturgemäß die Zuordnung von (Geld)
Werten zu den Einlagen voraus; dies wiederum macht es erforderlich,
dass Sacheinlagen im Gesellschaftsvertrag bewertet werden.</w:t>
      </w:r>
    </w:p>
    <w:p>
      <w:pPr>
        <w:widowControl w:val="on"/>
        <w:pBdr/>
        <w:spacing w:before="140" w:after="240" w:line="288" w:lineRule="auto"/>
        <w:ind w:left="0" w:right="0"/>
        <w:jc w:val="left"/>
      </w:pPr>
      <w:r>
        <w:rPr>
          <w:rFonts w:ascii="Arial" w:hAnsi="Arial" w:eastAsia="Arial" w:cs="Arial"/>
          <w:color w:val="000000"/>
          <w:sz w:val="20"/>
          <w:szCs w:val="20"/>
        </w:rPr>
        <w:t xml:space="preserve">Entsprechend den in Anmerkung 1 dargelegten Absichten der
Protagonisten erfolgt die Gestaltung der Einlagenregelung:</w:t>
      </w:r>
    </w:p>
    <w:p>
      <w:pPr>
        <w:widowControl w:val="on"/>
        <w:pBdr/>
        <w:spacing w:before="140" w:after="240" w:line="288" w:lineRule="auto"/>
        <w:ind w:left="0" w:right="0"/>
        <w:jc w:val="left"/>
      </w:pPr>
      <w:r>
        <w:rPr>
          <w:rFonts w:ascii="Arial" w:hAnsi="Arial" w:eastAsia="Arial" w:cs="Arial"/>
          <w:color w:val="000000"/>
          <w:sz w:val="20"/>
          <w:szCs w:val="20"/>
        </w:rPr>
        <w:t xml:space="preserve">Alfred Anis, der sein Unternehmen erweitern und im Rahmen der
Gesellschaft indirekt (als deren geschäftsführender Komplementär)
weiterführen möchte, bringt dieses Unternehmen als solches in die
Gesellschaft als Einlage ein (die Gesellschaft erwirbt das
gastgewerbliche Unternehmen).</w:t>
      </w:r>
    </w:p>
    <w:p>
      <w:pPr>
        <w:widowControl w:val="on"/>
        <w:pBdr/>
        <w:spacing w:before="140" w:after="240" w:line="288" w:lineRule="auto"/>
        <w:ind w:left="0" w:right="0"/>
        <w:jc w:val="left"/>
      </w:pPr>
      <w:r>
        <w:rPr>
          <w:rFonts w:ascii="Arial" w:hAnsi="Arial" w:eastAsia="Arial" w:cs="Arial"/>
          <w:color w:val="000000"/>
          <w:sz w:val="20"/>
          <w:szCs w:val="20"/>
        </w:rPr>
        <w:t xml:space="preserve">Hier müssen die Regelungen des Gesetzes (vgl die §§ 38 f
UGB) betreffend die Haftung des Erwerbers bei der Fortführung eines
Unternehmens beachtet werden:</w:t>
      </w:r>
    </w:p>
    <w:p>
      <w:pPr>
        <w:widowControl w:val="on"/>
        <w:pBdr/>
        <w:spacing w:before="140" w:after="240" w:line="288" w:lineRule="auto"/>
        <w:ind w:left="0" w:right="0"/>
        <w:jc w:val="left"/>
      </w:pPr>
      <w:r>
        <w:rPr>
          <w:rFonts w:ascii="Arial" w:hAnsi="Arial" w:eastAsia="Arial" w:cs="Arial"/>
          <w:color w:val="000000"/>
          <w:sz w:val="20"/>
          <w:szCs w:val="20"/>
        </w:rPr>
        <w:t xml:space="preserve">Wer ein unter Lebenden erworbenes Unternehmen fortführt, der
übernimmt, sofern nichts anderes vereinbart ist, zum Zeitpunkt des
Unternehmensübergangs die unternehmensbezogenen, nicht
höchstpersönlichen Rechtsverhältnisse des Veräußerers mit den bis
dahin entstandenen Rechten und Verbindlichkeiten. Für
unternehmensbezogene Verbindlichkeiten des Veräußerers bestellte
Sicherheiten bleiben für diese Verbindlichkeiten aufrecht. Der
Veräußerer haftet nach Maßgabe des § 39 UGB für die
unternehmensbezogenen Verbindlichkeiten fort.</w:t>
      </w:r>
    </w:p>
    <w:p>
      <w:pPr>
        <w:widowControl w:val="on"/>
        <w:pBdr/>
        <w:spacing w:before="140" w:after="240" w:line="288" w:lineRule="auto"/>
        <w:ind w:left="0" w:right="0"/>
        <w:jc w:val="left"/>
      </w:pPr>
      <w:r>
        <w:rPr>
          <w:rFonts w:ascii="Arial" w:hAnsi="Arial" w:eastAsia="Arial" w:cs="Arial"/>
          <w:color w:val="000000"/>
          <w:sz w:val="20"/>
          <w:szCs w:val="20"/>
        </w:rPr>
        <w:t xml:space="preserve">Der Dritte kann der Übernahme seines Vertragsverhältnisses
binnen dreier Monate nach Mitteilung davon sowohl gegenüber dem
Veräußerer als auch gegenüber dem Erwerber widersprechen; in der
Mitteilung ist er auf das Widerspruchsrecht hinzuweisen. Dies gilt
auch für den Besteller einer für unternehmensbezogene
Verbindlichkeiten des Veräußerers gewährten Sicherheit. Im Falle
eines wirksamen Widerspruchs besteht das Vertragsverhältnis mit dem
Veräußerer fort.</w:t>
      </w:r>
    </w:p>
    <w:p>
      <w:pPr>
        <w:widowControl w:val="on"/>
        <w:pBdr/>
        <w:spacing w:before="140" w:after="240" w:line="288" w:lineRule="auto"/>
        <w:ind w:left="0" w:right="0"/>
        <w:jc w:val="left"/>
      </w:pPr>
      <w:r>
        <w:rPr>
          <w:rFonts w:ascii="Arial" w:hAnsi="Arial" w:eastAsia="Arial" w:cs="Arial"/>
          <w:color w:val="000000"/>
          <w:sz w:val="20"/>
          <w:szCs w:val="20"/>
        </w:rPr>
        <w:t xml:space="preserve">Wurde dem Dritten nicht nachweislich mitgeteilt, ob das
Vertragsverhältnis vom Erwerber übernommen wurde, oder kann dieser
Übernahme noch widersprochen werden, so kann er sowohl gegenüber
dem Veräußerer als auch gegenüber dem Erwerber auf das
Vertragsverhältnis bezogene Erklärungen abgeben und seine
Verbindlichkeiten erfüllen. Dies gilt auch für den Besteller einer
für unternehmensbezogene Verbindlichkeiten des Veräußerers
gewährten Sicherheit.</w:t>
      </w:r>
    </w:p>
    <w:p>
      <w:pPr>
        <w:widowControl w:val="on"/>
        <w:pBdr/>
        <w:spacing w:before="140" w:after="240" w:line="288" w:lineRule="auto"/>
        <w:ind w:left="0" w:right="0"/>
        <w:jc w:val="left"/>
      </w:pPr>
      <w:r>
        <w:rPr>
          <w:rFonts w:ascii="Arial" w:hAnsi="Arial" w:eastAsia="Arial" w:cs="Arial"/>
          <w:color w:val="000000"/>
          <w:sz w:val="20"/>
          <w:szCs w:val="20"/>
        </w:rPr>
        <w:t xml:space="preserve">Werden unternehmensbezogene Rechtsverhältnisse des Veräußerers
vom Erwerber nicht übernommen, so haftet er dennoch für die damit
verbundenen Verbindlichkeiten. Dies gilt auch, wenn der Erwerber
nur einzelne Verbindlichkeiten des Veräußerers nicht übernimmt.
Eine davon abweichende Vereinbarung über die Haftung ist einem
Dritten gegenüber nur wirksam, wenn sie beim Unternehmensübergang
in das Firmenbuch eingetragen, auf verkehrsübliche Weise bekannt
gemacht oder dem Dritten vom Veräußerer oder vom Erwerber
mitgeteilt wurde.</w:t>
      </w:r>
    </w:p>
    <w:p>
      <w:pPr>
        <w:widowControl w:val="on"/>
        <w:pBdr/>
        <w:spacing w:before="140" w:after="240" w:line="288" w:lineRule="auto"/>
        <w:ind w:left="0" w:right="0"/>
        <w:jc w:val="left"/>
      </w:pPr>
      <w:r>
        <w:rPr>
          <w:rFonts w:ascii="Arial" w:hAnsi="Arial" w:eastAsia="Arial" w:cs="Arial"/>
          <w:color w:val="000000"/>
          <w:sz w:val="20"/>
          <w:szCs w:val="20"/>
        </w:rPr>
        <w:t xml:space="preserve">(Nicht als Erwerb eines Unternehmens iSd Abs 1 gilt die
Fortführung im Weg der Pacht, der Leihe, der Fruchtnießung, des
Rechtes des Gebrauchs und der Beendigung dieser Verträge. Auch in
diesen Fällen kann jedoch ein Dritter oder ein
Sicherheitenbesteller gegenüber dem neuen Unternehmer Erklärungen
in Bezug auf ein zum früheren Unternehmer bestehendes,
unternehmensbezogenes und nicht höchstpersönliches
Vertragsverhältnis abgeben und seine Verbindlichkeiten erfüllen,
solange ihm die Fortführung des Unternehmens im Weg der Pacht, der
Leihe, der Fruchtnießung, des Rechtes des Gebrauchs oder der
Beendigung dieser Verträge nicht bekannt ist.)</w:t>
      </w:r>
    </w:p>
    <w:p>
      <w:pPr>
        <w:widowControl w:val="on"/>
        <w:pBdr/>
        <w:spacing w:before="140" w:after="240" w:line="288" w:lineRule="auto"/>
        <w:ind w:left="0" w:right="0"/>
        <w:jc w:val="left"/>
      </w:pPr>
      <w:r>
        <w:rPr>
          <w:rFonts w:ascii="Arial" w:hAnsi="Arial" w:eastAsia="Arial" w:cs="Arial"/>
          <w:color w:val="000000"/>
          <w:sz w:val="20"/>
          <w:szCs w:val="20"/>
        </w:rPr>
        <w:t xml:space="preserve">Eine durch andere Bestimmungen (beispielsweise § 1409 ABGB)
begründete Haftung oder Übernahme von Rechtsverhältnissen durch den
Erwerber bleibt unberührt.</w:t>
      </w:r>
    </w:p>
    <w:p>
      <w:pPr>
        <w:widowControl w:val="on"/>
        <w:pBdr/>
        <w:spacing w:before="140" w:after="240" w:line="288" w:lineRule="auto"/>
        <w:ind w:left="0" w:right="0"/>
        <w:jc w:val="left"/>
      </w:pPr>
      <w:r>
        <w:rPr>
          <w:rFonts w:ascii="Arial" w:hAnsi="Arial" w:eastAsia="Arial" w:cs="Arial"/>
          <w:color w:val="000000"/>
          <w:sz w:val="20"/>
          <w:szCs w:val="20"/>
        </w:rPr>
        <w:t xml:space="preserve">Übernimmt der Erwerber des Unternehmens unternehmensbezogene
Rechtsverhältnisse des Veräußerers mit den bis zum
Unternehmensübergang entstandenen Rechten und Verbindlichkeiten, so
haftet der Veräußerer für diese Verbindlichkeiten nur, soweit sie
vor Ablauf von fünf Jahren nach dem Unternehmensübergang fällig
werden. Ansprüche daraus verjähren innerhalb der für die jeweilige
Verbindlichkeit geltenden Verjährungsfrist, längstens jedoch in
drei Jahren.</w:t>
      </w:r>
    </w:p>
    <w:p>
      <w:pPr>
        <w:widowControl w:val="on"/>
        <w:pBdr/>
        <w:spacing w:before="140" w:after="240" w:line="288" w:lineRule="auto"/>
        <w:ind w:left="0" w:right="0"/>
        <w:jc w:val="left"/>
      </w:pPr>
      <w:r>
        <w:rPr>
          <w:rFonts w:ascii="Arial" w:hAnsi="Arial" w:eastAsia="Arial" w:cs="Arial"/>
          <w:color w:val="000000"/>
          <w:sz w:val="20"/>
          <w:szCs w:val="20"/>
        </w:rPr>
        <w:t xml:space="preserve">Im hiergegenständlichen Vertragsmuster werden
unternehmensbezogene Rechtsverhältnisse des Veräußerers vom
Erwerber nicht übernommen; weiters wird die Haftung des Übernehmers
vertraglich ausgeschlossen und es soll (nach den Intentionen der
Gesellschafter) dieser Ausschluss in unmittelbarer zeitlicher Nähe
zum Unternehmensübergang ins Firmenbuch eingetragen werden (dass
dadurch der Haftungsausschluss gegenüber dem Dritten (dem
Gläubiger) wirksam wird, beruht darauf, dass das Gesetz dies (in
§ 38 Abs 4 UGB) ausdrücklich anordnet). (Achtung: dieser
Haftungsausschluss betrifft nicht eine etwaige Haftung der
Gesellschaft als Übernehmerin eines Unternehmens nach § 1409
ABGB; diese Haftung kann nicht ausgeschlossen werden, sie ist aber
der Höhe nach mit dem Wert der übernommenen Unternehmensaktiva
begrenzt.)</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Sigfried Süßer bringt seine (damit nicht mehr
von Vergammelung bedrohte) Konditoreiausstattung und einen durchaus
als namhaft zu bezeichnenden Geldbetrag ein. Daneben verpflichtet
sich dieser Gesellschafter zu Arbeitsleistungen, die als Einlage
gewertet werden, wobei ihm durch Vereinbarung auch ein dieser
Einlage entsprechender Anteil an der Gesellschaft (Kapitalanteil)
gewährt wird.</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Harald Haube leistet seine Ersparnisse als
Bareinlage und verpflichtet sich daneben zu Arbeitsleistungen als
Restaurantmanager; auch seine Arbeitsleistungen werden als eine mit
einem Kapitalanteil verbundene Einlage gewertet.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 des Vertragsmusters (Ausübung der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Das Gesetz schließt bei der Kommanditgesellschaft die
Kommanditisten grundsätzlich von der Geschäftsführung aus (vgl
§ 164 UGB): diese Regelung ist durch vertragliche Vereinbarung
abänderbar (dispositiv), und es werden im Rahmen des
hiergegenständlichen Musterfalles auch Vorschläge für eine solche
Abänderung unterbreitet.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XIV. des Vertragsmusters (Wettbewerbsverbot)</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 (dispositive) Regelung sieht bezüglich der
Kommanditgesellschaft vor, dass</w:t>
      </w:r>
    </w:p>
    <w:p>
      <w:pPr>
        <w:numPr>
          <w:ilvl w:val="0"/>
          <w:numId w:val="587711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einen Komplementär das strenge Wettbewerbsverbot der
§§ 112 f UGB betreffend die (stets unbeschränkt haftenden)
Gesellschafter einer Offenen Gesellschaft gilt,</w:t>
      </w:r>
    </w:p>
    <w:p>
      <w:pPr>
        <w:numPr>
          <w:ilvl w:val="0"/>
          <w:numId w:val="5877113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während den Kommanditisten grundsätzlich keine derartige
Beschränkung trifft.</w:t>
      </w:r>
    </w:p>
    <w:p>
      <w:pPr>
        <w:widowControl w:val="on"/>
        <w:pBdr/>
        <w:spacing w:before="140" w:after="240" w:line="288" w:lineRule="auto"/>
        <w:ind w:left="0" w:right="0"/>
        <w:jc w:val="left"/>
      </w:pPr>
      <w:r>
        <w:rPr>
          <w:rFonts w:ascii="Arial" w:hAnsi="Arial" w:eastAsia="Arial" w:cs="Arial"/>
          <w:color w:val="000000"/>
          <w:sz w:val="20"/>
          <w:szCs w:val="20"/>
        </w:rPr>
        <w:t xml:space="preserve">Diesen Ausnahmebestimmungen betreffend den Kommanditisten liegen
offenbar zwei Erwägungen des Gesetzgebers zugrunde:</w:t>
      </w:r>
    </w:p>
    <w:p>
      <w:pPr>
        <w:numPr>
          <w:ilvl w:val="0"/>
          <w:numId w:val="5919562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 die Kommanditisten durch § 164 UGB von der
Geschäftsführung in gewöhnlichen Angelegenheiten ausgeschlossen
sind und ihnen § 166 UGB nur ein stark eingeschränktes
Kontrollrecht gewährt, haben sie keinen Einblick in die operative
Tätigkeit der KG, sodass sie – im Gegensatz zu den Komplementären –
über kein betriebliches Wissen verfügen, welches sie bei
Privatgeschäften missbrauchen könnten.</w:t>
      </w:r>
    </w:p>
    <w:p>
      <w:pPr>
        <w:numPr>
          <w:ilvl w:val="0"/>
          <w:numId w:val="5919562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Gegensatz zum Komplementär setzt der dem gesetzlichen
Leitmodell entsprechende Kommanditist seine Arbeitskraft nicht in
der KG ein, sondern führt der KG nur Kapital zu und ist selbst
anderweitig tätig; in dieser anderweitigen Erwerbstätigkeit soll
der Kommanditist nicht durch ein Wettbewerbsverbot behindert
werden.</w:t>
      </w:r>
    </w:p>
    <w:p>
      <w:pPr>
        <w:widowControl w:val="on"/>
        <w:pBdr/>
        <w:spacing w:before="140" w:after="240" w:line="288" w:lineRule="auto"/>
        <w:ind w:left="0" w:right="0"/>
        <w:jc w:val="left"/>
      </w:pPr>
      <w:r>
        <w:rPr>
          <w:rFonts w:ascii="Arial" w:hAnsi="Arial" w:eastAsia="Arial" w:cs="Arial"/>
          <w:color w:val="000000"/>
          <w:sz w:val="20"/>
          <w:szCs w:val="20"/>
        </w:rPr>
        <w:t xml:space="preserve">Diese Regelungen sind für den vorliegenden Musterfall nicht
wirklich passend:</w:t>
      </w:r>
    </w:p>
    <w:p>
      <w:pPr>
        <w:numPr>
          <w:ilvl w:val="0"/>
          <w:numId w:val="722098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Sowohl der Komplementär Alfred Anis als auch der Kommanditist
Harald Haube sollen ihre gesamte Arbeitskraft dem von der
Gesellschaft betriebenen Unternehmen zur Verfügung stellen.</w:t>
      </w:r>
    </w:p>
    <w:p>
      <w:pPr>
        <w:numPr>
          <w:ilvl w:val="0"/>
          <w:numId w:val="7220986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Sowohl der Komplementär Alfred Anis als auch der Kommanditist
Harald Haube haben Einblick in die Betriebsabläufe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Womit die Frage nach der Abänderbarkeit im Gesellschaftsvertrag
im Raum steht:</w:t>
      </w:r>
    </w:p>
    <w:p>
      <w:pPr>
        <w:widowControl w:val="on"/>
        <w:pBdr/>
        <w:spacing w:before="140" w:after="240" w:line="288" w:lineRule="auto"/>
        <w:ind w:left="0" w:right="0"/>
        <w:jc w:val="left"/>
      </w:pPr>
      <w:r>
        <w:rPr>
          <w:rFonts w:ascii="Arial" w:hAnsi="Arial" w:eastAsia="Arial" w:cs="Arial"/>
          <w:color w:val="000000"/>
          <w:sz w:val="20"/>
          <w:szCs w:val="20"/>
        </w:rPr>
        <w:t xml:space="preserve">Die §§ 112 113 und 165 UGB stellen grundsätzlich
dispositives – durch den Gesellschaftsvertrag abwandelbares – Recht
dar; möglich wären daher zB die nachstehenden
gesellschaftsvertraglichen Regelungen:</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wird auf das Wettbewerbsverbot verzichtet und jedem
Komplementär die beliebige außergesellschaftliche
Geschäftsbetätigung bzw Beteiligung freigestellt.</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Wettbewerbsverbot wird verschärft, etwa durch das
zusätzliche Verbot von Beteiligungen an Kapitalgesellschaften.</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solche Verschärfung könnte allerdings unter Umständen
wegen Verstoßes gegen die guten Sitten nach § 879 ABGB nichtig
sein.)</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Wettbewerbsverbot wird spezifiziert, indem an die Stelle
der allgemeinen Formulierung „Geschäftszweig der Gesellschaft“ die
Bezeichnung spezifischer Tätigkeitsfelder gesetzt wird (zB: „Den
Gesellschaftern ist es untersagt, ohne Einwilligung aller übrigen
Gesellschafter Geschäfte im Bereich des Handels mit Software zu
tätigen …“).</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Ermöglichung geringfügiger Nebentätigkeiten der
Komplementäre wird eine „Bagatellgrenze“ eingeführt (zB: „Zulässig
ist der Abschluss von Geschäften im Geschäftszweig der
Gesellschaft, sofern der Umsatz aus einem solchen Geschäft im
Einzelfall EUR 500,– inkl USt und weiters die Summe der
Umsätze aus solchen Geschäften in einem Kalendermonat
EUR 3.000,– inkl USt nicht übersteigt …“)</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einem solchen Fall ist allerdings zu spezifizieren, welche
Geschäfte als im Sinne des Wettbewerbsverbots unzulässig angesehen
werden sollen, wenn der Gesamtumsatz aus mehreren Geschäften die
betreffende Bagatellgrenze übersteigt, da sonst das Instrumentarium
des § 113 Abs 1, 2. Halbsatz UGB (zB: „die für eigene
Rechnung gemachten Geschäfte als für Rechnung der Gesellschaft
gelten lassen …“) nicht anwendbar wäre (hier könnte etwa vorgesehen
werden, dass – in zeitlicher Ordnung – alle Geschäfte ab inklusive
jenem Geschäft als verboten gelten, mit dem die
Monats-Bagatellgrenze überschritten worden ist.</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den Fall einer Verletzung des Wettbewerbsverbots wird eine
Konventionalstrafe (Pönale) vorgesehen; eine solche Regelung
empfiehlt sich insbesondere dann, wenn damit zu rechnen ist, dass
in praxi zwar die Tatsache der Verletzung des Wettbewerbsverbots
bewiesen werden könnte, nicht jedoch ein konkreter Schaden.</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eines Komplementärs von mehreren wird das
Wettbewerbsverbot beseitigt oder eingeschränkt; das ist allerdings
wegen des grundsätzlichen Gebots der Gleichbehandlung aller
Gesellschafter nur dann möglich, wenn ein sachlicher Grund für die
Befreiung gerade dieses Komplementärs vorliegt, was zB dann der
Fall sein kann, wenn die außergesellschaftliche Geschäftstätigkeit
des Komplementärs die Akquisition von Kunden für die Gesellschaft
erwarten lässt (etwa deshalb, weil der Komplementäre nur einen
spezifischen Ausschnitt aus dem Geschäftszweig der Gesellschaft
bedient und Kunden, deren Bedarf die Grenzen dieses Ausschnitts
überschreitet, an die Gesellschaft verweisen würde).</w:t>
      </w:r>
    </w:p>
    <w:p>
      <w:pPr>
        <w:numPr>
          <w:ilvl w:val="0"/>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wird ein Wettbewerbsverbot für Kommanditisten vereinbart,
etwa
</w:t>
      </w:r>
    </w:p>
    <w:p>
      <w:pPr>
        <w:numPr>
          <w:ilvl w:val="1"/>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diesbezügliche Gleichstellung der Kommanditisten mit
den Komplementären oder</w:t>
      </w:r>
    </w:p>
    <w:p>
      <w:pPr>
        <w:numPr>
          <w:ilvl w:val="1"/>
          <w:numId w:val="9337531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Formulierung einer „abgespeckten“ Version des Verbots
für die Kommanditisten (Beispiel: Ein Kommanditist muss eine von
ihm geplante einschlägige Tätigkeit vorab den übrigen
Gesellschaftern anzeigen; die Tätigkeit gilt als genehmigt, wenn
sie nicht innerhalb einer bestimmten Frist durch einstimmigen
Beschluss der übrigen Gesellschafter untersagt wird); in diesem
Zusammenhang sei darauf hingewiesen, das die spezifischen
Rechtsfolgen des § 113 UGB (zB das Recht der Gesellschaft, die
Behandlung eines vom Gesellschafter trotz Verbots abgeschlossenen
Geschäfts als auf Rechnung abgeschlossen zu verlangen) nur dann
gegen einen Kommanditisten geltend gemacht werden können, wenn die
Anwendung des § 113 UGB vereinbart worden ist; wird ein
„Wettbewerbsverbot“ bezüglich des Kommanditisten bloß auf die
Treuepflicht gestützt, so steht der KG nach herrschender Meinung
das spezifische Arsenal des § 113 UGB nicht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Die Möglichkeit einer abweichenden Regelung im
Gesellschaftsvertrag wird im Vertragsmuster genutzt; insbesondere
ist auf die Textvariante 2 zu verweisen, bei der ein an § 112
UGB orientiertes Wettbewerbsverbot auch für den Kommanditisten
Harald Haube festgeschrieben wird. Die bezüglich der Gesellschafter
Alfred Anis bzw Harald Haube getroffenen Regelungen werden auch für
den Gesellschafter Sigfried Süßer vorgesehen, für diesen allerdings
mit der Maßgabe, dass ihm eine Geschäftstätigkeit im Geschäftszweig
der Gesellschaft gestattet ist, sofern sich diese Tätigkeit auf den
Betrieb des Handwerks der Konditoren (Zuckerbäcker) einschließlich
der Lebzelter und der Konditen-, Gefrorenes- und
Schokoladenwarenerzeugung iSd § 94 Z 40 der
Gewerbeordnung beschränkt.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XV. des Vertragsmusters (Kontrollrechte der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Entsprechend der oben dargelegten Vorstellung des Gesetzgebers
vom fehlenden Involvement des Kommanditisten in die operative
Tätigkeit der KG differenziert der Gesetzgeber auch bei den
Kontrollrechten der Gesellschafter; § 118 Abs 1 UGB
normiert iVm § 161 Abs 2 UGB ein Kontrollrecht der
Komplementäre:</w:t>
      </w:r>
    </w:p>
    <w:p>
      <w:pPr>
        <w:widowControl w:val="on"/>
        <w:pBdr/>
        <w:spacing w:before="140" w:after="240" w:line="288" w:lineRule="auto"/>
        <w:ind w:left="0" w:right="0"/>
        <w:jc w:val="left"/>
      </w:pPr>
      <w:r>
        <w:rPr>
          <w:rFonts w:ascii="Arial" w:hAnsi="Arial" w:eastAsia="Arial" w:cs="Arial"/>
          <w:color w:val="000000"/>
          <w:sz w:val="20"/>
          <w:szCs w:val="20"/>
        </w:rPr>
        <w:t xml:space="preserve">Ein Komplementär (hier: Alfred Ansis) kann sich, auch wenn er
von der Geschäftsführung ausgeschlossen ist, von den
Angelegenheiten der Gesellschaft persönlich unterrichten, die
Bücher und Schriften der Gesellschaft einsehen und sich aus ihnen
einen Jahresabschluss oder, wenn nach den Vorschriften des Dritten
Buches keine Pflicht zur Rechnungslegung besteht, eine sonstige
Abrechnung anfertigen oder die Vorlage eines solchen Abschlusses
oder einer solchen Abrechnung fordern.</w:t>
      </w:r>
    </w:p>
    <w:p>
      <w:pPr>
        <w:widowControl w:val="on"/>
        <w:pBdr/>
        <w:spacing w:before="140" w:after="240" w:line="288" w:lineRule="auto"/>
        <w:ind w:left="0" w:right="0"/>
        <w:jc w:val="left"/>
      </w:pPr>
      <w:r>
        <w:rPr>
          <w:rFonts w:ascii="Arial" w:hAnsi="Arial" w:eastAsia="Arial" w:cs="Arial"/>
          <w:color w:val="000000"/>
          <w:sz w:val="20"/>
          <w:szCs w:val="20"/>
        </w:rPr>
        <w:t xml:space="preserve">§ 166 Abs 1 und 2 UGB regelt das Kontrollrecht der
Kommanditisten; demnach ist der Kommanditist berechtigt, die
abschriftliche Mitteilung des Jahresabschlusses oder, wenn nach den
Vorschriften des Dritten Buches keine Pflicht zur Rechnungslegung
besteht, einer sonstigen Abrechnung zu verlangen und dessen
Richtigkeit unter Einsicht der Bücher und Schriften zu prüfen. (Die
im § 118 UGB dem von der Geschäftsführung ausgeschlossenen
Gesellschafter eingeräumten weiteren Rechte stehen dem
Kommanditisten nicht zu.)</w:t>
      </w:r>
    </w:p>
    <w:p>
      <w:pPr>
        <w:widowControl w:val="on"/>
        <w:pBdr/>
        <w:spacing w:before="140" w:after="240" w:line="288" w:lineRule="auto"/>
        <w:ind w:left="0" w:right="0"/>
        <w:jc w:val="left"/>
      </w:pPr>
      <w:r>
        <w:rPr>
          <w:rFonts w:ascii="Arial" w:hAnsi="Arial" w:eastAsia="Arial" w:cs="Arial"/>
          <w:color w:val="000000"/>
          <w:sz w:val="20"/>
          <w:szCs w:val="20"/>
        </w:rPr>
        <w:t xml:space="preserve">Folglich verfügt der Kommanditist nach dem Gesetz im Gegensatz
zum Komplementär nicht über ein laufendes Kontrollrecht; er darf –
grob gesprochen – nur den Jahresabschluss prüfen und in die
Unterlagen der Gesellschaft so weit Einblick nehmen, wie es für
eine sachgerechte Vornahme dieser Prüfung erforderlich ist.</w:t>
      </w:r>
    </w:p>
    <w:p>
      <w:pPr>
        <w:widowControl w:val="on"/>
        <w:pBdr/>
        <w:spacing w:before="140" w:after="240" w:line="288" w:lineRule="auto"/>
        <w:ind w:left="0" w:right="0"/>
        <w:jc w:val="left"/>
      </w:pPr>
      <w:r>
        <w:rPr>
          <w:rFonts w:ascii="Arial" w:hAnsi="Arial" w:eastAsia="Arial" w:cs="Arial"/>
          <w:color w:val="000000"/>
          <w:sz w:val="20"/>
          <w:szCs w:val="20"/>
        </w:rPr>
        <w:t xml:space="preserve">(Die herrschende Lehre gewährt dem Kommanditisten außerdem ein
„Auskunftsrecht“, welches ihm insoweit zukommt, als er es zur
Ausübung seiner Gesellschafterrechte braucht [ein Auskunftsrecht
wäre zB dann gegeben, wenn der Kommanditist an einer Entscheidung
in einer Angelegenheit der außergewöhnlichen Geschäftsführung
teilnähme; es könnten alle zur diesbezüglichen Meinungsbildung des
Kommanditisten notwendigen Informationen verlangt werden.])</w:t>
      </w:r>
    </w:p>
    <w:p>
      <w:pPr>
        <w:widowControl w:val="on"/>
        <w:pBdr/>
        <w:spacing w:before="140" w:after="240" w:line="288" w:lineRule="auto"/>
        <w:ind w:left="0" w:right="0"/>
        <w:jc w:val="left"/>
      </w:pPr>
      <w:r>
        <w:rPr>
          <w:rFonts w:ascii="Arial" w:hAnsi="Arial" w:eastAsia="Arial" w:cs="Arial"/>
          <w:color w:val="000000"/>
          <w:sz w:val="20"/>
          <w:szCs w:val="20"/>
        </w:rPr>
        <w:t xml:space="preserve">Das Kontrollrecht iSd § 118 Abs 1 UGB kann im
Gesellschaftsvertrag weitestgehend modifiziert werden, etwa
dergestalt, dass</w:t>
      </w:r>
    </w:p>
    <w:p>
      <w:pPr>
        <w:numPr>
          <w:ilvl w:val="0"/>
          <w:numId w:val="9733052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nicht jedem einzelnen Komplementär zusteht,
sondern nur einem aus der Mitte der Komplementäre gebildeten
Ausschuss oder auch einem externen Sachverständigen, oder</w:t>
      </w:r>
    </w:p>
    <w:p>
      <w:pPr>
        <w:numPr>
          <w:ilvl w:val="0"/>
          <w:numId w:val="9733052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der Kommanditisten ausgeschlossen wird,
oder</w:t>
      </w:r>
    </w:p>
    <w:p>
      <w:pPr>
        <w:numPr>
          <w:ilvl w:val="0"/>
          <w:numId w:val="9733052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die Stelle des Kontrollrechts durch Bucheinsicht etc eine
umfassende Berichtspflicht der geschäftsführenden Gesellschafter
tritt, oder</w:t>
      </w:r>
    </w:p>
    <w:p>
      <w:pPr>
        <w:numPr>
          <w:ilvl w:val="0"/>
          <w:numId w:val="9733052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gänzlich ausgeschlossen wird, oder</w:t>
      </w:r>
    </w:p>
    <w:p>
      <w:pPr>
        <w:numPr>
          <w:ilvl w:val="0"/>
          <w:numId w:val="9733052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der Kommanditisten erweitert wird.</w:t>
      </w:r>
    </w:p>
    <w:p>
      <w:pPr>
        <w:widowControl w:val="on"/>
        <w:pBdr/>
        <w:spacing w:before="140" w:after="240" w:line="288" w:lineRule="auto"/>
        <w:ind w:left="0" w:right="0"/>
        <w:jc w:val="left"/>
      </w:pPr>
      <w:r>
        <w:rPr>
          <w:rFonts w:ascii="Arial" w:hAnsi="Arial" w:eastAsia="Arial" w:cs="Arial"/>
          <w:color w:val="000000"/>
          <w:sz w:val="20"/>
          <w:szCs w:val="20"/>
        </w:rPr>
        <w:t xml:space="preserve">Für den Fall eines gänzlichen Ausschlusses oder einer
Beschränkung des Kontrollrechts durch den Gesellschaftsvertrag hat
der Gesetzgeber jedoch in den (nicht durch Gesellschaftsvertrag
ausschließbaren) Bestimmungen der §§ 118 Abs 2 bzw 166
Abs 3 UGB einen „Notfallschirm“ bereitgestellt:</w:t>
      </w:r>
    </w:p>
    <w:p>
      <w:pPr>
        <w:widowControl w:val="on"/>
        <w:pBdr/>
        <w:spacing w:before="140" w:after="240" w:line="288" w:lineRule="auto"/>
        <w:ind w:left="0" w:right="0"/>
        <w:jc w:val="left"/>
      </w:pPr>
      <w:r>
        <w:rPr>
          <w:rFonts w:ascii="Arial" w:hAnsi="Arial" w:eastAsia="Arial" w:cs="Arial"/>
          <w:color w:val="000000"/>
          <w:sz w:val="20"/>
          <w:szCs w:val="20"/>
        </w:rPr>
        <w:t xml:space="preserve">Bezüglich des Kontrollrechts der Komplementäre ordnet § 118
Abs 2 UGB an, dass eine dieses Recht ausschließende oder
beschränkende Vereinbarung der Geltendmachung des Rechtes nicht
entgegensteht, wenn Grund zu der Annahme unredlicher
Geschäftsführung besteht.</w:t>
      </w:r>
    </w:p>
    <w:p>
      <w:pPr>
        <w:widowControl w:val="on"/>
        <w:pBdr/>
        <w:spacing w:before="140" w:after="240" w:line="288" w:lineRule="auto"/>
        <w:ind w:left="0" w:right="0"/>
        <w:jc w:val="left"/>
      </w:pPr>
      <w:r>
        <w:rPr>
          <w:rFonts w:ascii="Arial" w:hAnsi="Arial" w:eastAsia="Arial" w:cs="Arial"/>
          <w:color w:val="000000"/>
          <w:sz w:val="20"/>
          <w:szCs w:val="20"/>
        </w:rPr>
        <w:t xml:space="preserve">Betreffend den Kommanditisten findet sich in § 166
Abs 3 UGB eine ähnliche Regelung; nach dieser kann auf Antrag
eines Kommanditisten das Gericht, wenn wichtige Gründe vorliegen,
die Mitteilung einer Bilanz oder sonstiger Aufklärungen sowie die
Vorlegung der Bücher und Schriften jederzeit anordnen.</w:t>
      </w:r>
    </w:p>
    <w:p>
      <w:pPr>
        <w:widowControl w:val="on"/>
        <w:pBdr/>
        <w:spacing w:before="140" w:after="240" w:line="288" w:lineRule="auto"/>
        <w:ind w:left="0" w:right="0"/>
        <w:jc w:val="left"/>
      </w:pPr>
      <w:r>
        <w:rPr>
          <w:rFonts w:ascii="Arial" w:hAnsi="Arial" w:eastAsia="Arial" w:cs="Arial"/>
          <w:color w:val="000000"/>
          <w:sz w:val="20"/>
          <w:szCs w:val="20"/>
        </w:rPr>
        <w:t xml:space="preserve">Unter dem Begriff der „unredlichen Geschäftsführung“ ist ein
vorsätzliches Zuwiderhandeln gegen Interessen der Gesellschaft zu
verstehen.</w:t>
      </w:r>
    </w:p>
    <w:p>
      <w:pPr>
        <w:widowControl w:val="on"/>
        <w:pBdr/>
        <w:spacing w:before="140" w:after="240" w:line="288" w:lineRule="auto"/>
        <w:ind w:left="0" w:right="0"/>
        <w:jc w:val="left"/>
      </w:pPr>
      <w:r>
        <w:rPr>
          <w:rFonts w:ascii="Arial" w:hAnsi="Arial" w:eastAsia="Arial" w:cs="Arial"/>
          <w:color w:val="000000"/>
          <w:sz w:val="20"/>
          <w:szCs w:val="20"/>
        </w:rPr>
        <w:t xml:space="preserve">„Wichtige Gründe“ wären etwa der Verdacht unrechtlichen
Verhaltens eines geschäftsführenden Gesellschafters oder begründete
Zweifel an der Richtigkeit eines dem Kommanditisten übermittelten
Jahresabschlusses.</w:t>
      </w:r>
    </w:p>
    <w:p>
      <w:pPr>
        <w:widowControl w:val="on"/>
        <w:pBdr/>
        <w:spacing w:before="140" w:after="240" w:line="288" w:lineRule="auto"/>
        <w:ind w:left="0" w:right="0"/>
        <w:jc w:val="left"/>
      </w:pPr>
      <w:r>
        <w:rPr>
          <w:rFonts w:ascii="Arial" w:hAnsi="Arial" w:eastAsia="Arial" w:cs="Arial"/>
          <w:color w:val="000000"/>
          <w:sz w:val="20"/>
          <w:szCs w:val="20"/>
        </w:rPr>
        <w:t xml:space="preserve">Die Geltendmachung kann auf dem Gerichtswege
(Außerstreitverfahren) erfolgen; dabei muss der einsichtsuchende
Gesellschafter das Vorliegen entsprechender Verdachtsmomente
bescheinigen.</w:t>
      </w:r>
    </w:p>
    <w:p>
      <w:pPr>
        <w:widowControl w:val="on"/>
        <w:pBdr/>
        <w:spacing w:before="140" w:after="240" w:line="288" w:lineRule="auto"/>
        <w:ind w:left="0" w:right="0"/>
        <w:jc w:val="left"/>
      </w:pPr>
      <w:r>
        <w:rPr>
          <w:rFonts w:ascii="Arial" w:hAnsi="Arial" w:eastAsia="Arial" w:cs="Arial"/>
          <w:color w:val="000000"/>
          <w:sz w:val="20"/>
          <w:szCs w:val="20"/>
        </w:rPr>
        <w:t xml:space="preserve">(Da das „Notfallschirm-Kontrollrecht“ einen „Grund zur Annahme
unredlicher Geschäftsführung“ bzw „wichtige Gründe“ voraussetzt,
kann es faktisch nur geltend gemacht werden, wenn die betreffenden
Verdachtsmomente bereits ohne Einblick in die
Buchhaltung/Urkundensammlung der Gesellschaft vorliegen, etwa in
Gestalt eines dokumentierten „auffälligen“ Verhaltens eines
geschäftsführenden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Im vorliegenden Vertragsmuster werden verschiedene Textvarianten
vorgestellt, welche etwa eine Einschränkung bzw eine Ausdehnung von
Kontrollrechten darstellen.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XVII. des Vertragsmusters (Verteilung von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Hier sei zunächst auf § 167 UGB verwiesen, der anordnet,
dass, soweit der Gesellschaftsvertrag nichts anderes vorsieht, den
unbeschränkt haftenden Gesellschaftern zunächst ein ihrer Haftung
angemessener Betrag des Jahresgewinns zuzuweisen ist und im Übrigen
für den diesen Betrag übersteigenden Teil des Jahresgewinns sowie
für den Verlust eines Geschäftsjahrs § 121 anzuwenden ist.</w:t>
      </w:r>
    </w:p>
    <w:p>
      <w:pPr>
        <w:widowControl w:val="on"/>
        <w:pBdr/>
        <w:spacing w:before="140" w:after="240" w:line="288" w:lineRule="auto"/>
        <w:ind w:left="0" w:right="0"/>
        <w:jc w:val="left"/>
      </w:pPr>
      <w:r>
        <w:rPr>
          <w:rFonts w:ascii="Arial" w:hAnsi="Arial" w:eastAsia="Arial" w:cs="Arial"/>
          <w:color w:val="000000"/>
          <w:sz w:val="20"/>
          <w:szCs w:val="20"/>
        </w:rPr>
        <w:t xml:space="preserve">Diese Regelung soll dem Umstand Rechnung tragen, dass die
Komplementäre wegen der sie treffenden unbeschränkten Haftung ein
höheres Risiko tragen als die bloß beschränkt haftenden
Kommanditisten. Der Gesetzgeber bedient sich der allgemeinen
Formulierung „ein ihrer Haftung angemessener Betrag“, da das
konkrete Verhältnis des Risikos der Komplementäre zu jenem der
Kommanditisten von der konkreten Konstellation im Einzelfall
abhängt; das verhältnismäßige Risiko der Komplementäre wird in der
Regel umso höher sein, je höher die Verbindlichkeiten der KG (für
welche die Komplementäre ja voll haften) relativ zu den Haftsummen
der Kommanditisten sind. (Meines Erachtens müsste bei der
Bestimmung der Angemessenheit des „Gewinnvoraus“ auch der Umstand
berücksichtigt werden, welche faktische Bedeutung der Aspekt der
Haftung der Gesellschafter in der konkreten Situation überhaupt
hat; wenn etwa die KG ein wirtschaftlich gesundes Unternehmen „tief
in den schwarzen Zahlen“ betreibt, sodass die Inanspruchnahme der
Haftung von Gesellschaftern unwahrscheinlich ist, dann lässt sich
wohl argumentieren, der Gesellschafterhaftung käme ein so geringer
Stellenwert zu, dass ein angemessener „Gewinnvoraus“ der
Komplementäre nicht sehr hoch sein könnte.)</w:t>
      </w:r>
    </w:p>
    <w:p>
      <w:pPr>
        <w:widowControl w:val="on"/>
        <w:pBdr/>
        <w:spacing w:before="140" w:after="240" w:line="288" w:lineRule="auto"/>
        <w:ind w:left="0" w:right="0"/>
        <w:jc w:val="left"/>
      </w:pPr>
      <w:r>
        <w:rPr>
          <w:rFonts w:ascii="Arial" w:hAnsi="Arial" w:eastAsia="Arial" w:cs="Arial"/>
          <w:color w:val="000000"/>
          <w:sz w:val="20"/>
          <w:szCs w:val="20"/>
        </w:rPr>
        <w:t xml:space="preserve">(Festgehalten sei, dass die Zuweisung eines haftungsangemessenen
„Gewinnvoraus“ an einen Komplementär nicht dadurch ausgeschlossen
wird, dass ein Komplementär bloßer Arbeitsgesellschafter ohne
Kapitalbeteiligung ist.)</w:t>
      </w:r>
    </w:p>
    <w:p>
      <w:pPr>
        <w:widowControl w:val="on"/>
        <w:pBdr/>
        <w:spacing w:before="140" w:after="240" w:line="288" w:lineRule="auto"/>
        <w:ind w:left="0" w:right="0"/>
        <w:jc w:val="left"/>
      </w:pPr>
      <w:r>
        <w:rPr>
          <w:rFonts w:ascii="Arial" w:hAnsi="Arial" w:eastAsia="Arial" w:cs="Arial"/>
          <w:color w:val="000000"/>
          <w:sz w:val="20"/>
          <w:szCs w:val="20"/>
        </w:rPr>
        <w:t xml:space="preserve">Soweit der Jahresgewinn nicht gemäß der Bestimmung des
§ 167 im Voraus den Komplementären zugewiesen worden ist,
findet § 121 UGB Anwendung:</w:t>
      </w:r>
    </w:p>
    <w:p>
      <w:pPr>
        <w:widowControl w:val="on"/>
        <w:pBdr/>
        <w:spacing w:before="140" w:after="240" w:line="288" w:lineRule="auto"/>
        <w:ind w:left="0" w:right="0"/>
        <w:jc w:val="left"/>
      </w:pPr>
      <w:r>
        <w:rPr>
          <w:rFonts w:ascii="Arial" w:hAnsi="Arial" w:eastAsia="Arial" w:cs="Arial"/>
          <w:color w:val="000000"/>
          <w:sz w:val="20"/>
          <w:szCs w:val="20"/>
        </w:rPr>
        <w:t xml:space="preserve">Wenn Gesellschafter zur Leistung von Diensten verpflichtet sind,
so ist ihnen, sofern ihnen für die Dienste nicht eine Beteiligung
an der Gesellschaft gewährt wird, mangels anderer Vereinbarung ein
den Umständen nach angemessener Betrag des Jahresgewinns
zuzuweisen.</w:t>
      </w:r>
    </w:p>
    <w:p>
      <w:pPr>
        <w:widowControl w:val="on"/>
        <w:pBdr/>
        <w:spacing w:before="140" w:after="240" w:line="288" w:lineRule="auto"/>
        <w:ind w:left="0" w:right="0"/>
        <w:jc w:val="left"/>
      </w:pPr>
      <w:r>
        <w:rPr>
          <w:rFonts w:ascii="Arial" w:hAnsi="Arial" w:eastAsia="Arial" w:cs="Arial"/>
          <w:color w:val="000000"/>
          <w:sz w:val="20"/>
          <w:szCs w:val="20"/>
        </w:rPr>
        <w:t xml:space="preserve">Danach wird der diesen Betrag übersteigende Teil des
Jahresgewinns oder der Verlust eines Geschäftsjahrs sodann den
Gesellschaftern im Verhältnis ihrer Beteiligung (§ 109
Abs 1) zugewiesen.</w:t>
      </w:r>
    </w:p>
    <w:p>
      <w:pPr>
        <w:widowControl w:val="on"/>
        <w:pBdr/>
        <w:spacing w:before="140" w:after="240" w:line="288" w:lineRule="auto"/>
        <w:ind w:left="0" w:right="0"/>
        <w:jc w:val="left"/>
      </w:pPr>
      <w:r>
        <w:rPr>
          <w:rFonts w:ascii="Arial" w:hAnsi="Arial" w:eastAsia="Arial" w:cs="Arial"/>
          <w:color w:val="000000"/>
          <w:sz w:val="20"/>
          <w:szCs w:val="20"/>
        </w:rPr>
        <w:t xml:space="preserve">Enthält der Gesellschaftsvertrag eine von den obigen
gesetzlichen Regeln abweichende Bestimmung über den Anteil am
Gewinn oder über den Anteil am Verlust, so gilt sie im Zweifel für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Im hier vorliegenden Vertragsmuster werden zwei Textvarianten
vorgestellt, wobei der Grundtext dem Komplementär einen
„angemessenen“ Vorabbetrag zuweist, während Variante 1 alle
Gesellschafter entsprechend dem Verhältnis ihrer Kapitalanteile
beteilt.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 des Vertragsmusters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 Regelung der Vertretung der Gesellschaft findet
sich im gem § 161 Abs 2 UGB auch bei der KG
anzuwendenden § 125 Abs 1 UGB; demnach ist zur Vertretung
der Gesellschaft jeder Gesellschafter befugt (Einzelvertretung),
wenn er nicht durch den Gesellschaftsvertrag davon ausgeschlossen
ist.</w:t>
      </w:r>
    </w:p>
    <w:p>
      <w:pPr>
        <w:widowControl w:val="on"/>
        <w:pBdr/>
        <w:spacing w:before="140" w:after="240" w:line="288" w:lineRule="auto"/>
        <w:ind w:left="0" w:right="0"/>
        <w:jc w:val="left"/>
      </w:pPr>
      <w:r>
        <w:rPr>
          <w:rFonts w:ascii="Arial" w:hAnsi="Arial" w:eastAsia="Arial" w:cs="Arial"/>
          <w:color w:val="000000"/>
          <w:sz w:val="20"/>
          <w:szCs w:val="20"/>
        </w:rPr>
        <w:t xml:space="preserve">Mit Bezug auf den Kommanditisten bestimmt allerdings § 170
UGB, dass dieser als solcher nicht befugt ist, die Gesellschaft zu
vertreten.</w:t>
      </w:r>
    </w:p>
    <w:p>
      <w:pPr>
        <w:widowControl w:val="on"/>
        <w:pBdr/>
        <w:spacing w:before="140" w:after="240" w:line="288" w:lineRule="auto"/>
        <w:ind w:left="0" w:right="0"/>
        <w:jc w:val="left"/>
      </w:pPr>
      <w:r>
        <w:rPr>
          <w:rFonts w:ascii="Arial" w:hAnsi="Arial" w:eastAsia="Arial" w:cs="Arial"/>
          <w:color w:val="000000"/>
          <w:sz w:val="20"/>
          <w:szCs w:val="20"/>
        </w:rPr>
        <w:t xml:space="preserve">Dem gesetzlichen Leitmodell entspricht also die
Einzelvertretungsbefugnis jedes Komplementärs; da – wie unter näher
behandelt – bei der Vertretungsmacht nicht zwischen gewöhnlichen
und außergewöhnlichen Angelegenheiten differenziert wird, kann also
jeder Komplementär in allen Angelegenheiten (außer
Grundlagengeschäften) die Gesellschaft alleine vertreten.</w:t>
      </w:r>
    </w:p>
    <w:p>
      <w:pPr>
        <w:widowControl w:val="on"/>
        <w:pBdr/>
        <w:spacing w:before="140" w:after="240" w:line="288" w:lineRule="auto"/>
        <w:ind w:left="0" w:right="0"/>
        <w:jc w:val="left"/>
      </w:pPr>
      <w:r>
        <w:rPr>
          <w:rFonts w:ascii="Arial" w:hAnsi="Arial" w:eastAsia="Arial" w:cs="Arial"/>
          <w:color w:val="000000"/>
          <w:sz w:val="20"/>
          <w:szCs w:val="20"/>
        </w:rPr>
        <w:t xml:space="preserve">Diese Regelung ist zwingend; von ihr kann im
Gesellschaftsvertrag nur in den nachstehend angeführten, gesetzlich
vorgesehenen Punkten abgegangen werden:</w:t>
      </w:r>
    </w:p>
    <w:p>
      <w:pPr>
        <w:numPr>
          <w:ilvl w:val="0"/>
          <w:numId w:val="1120439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Ausschluss einzelner Gesellschafter von der Vertretung
der KG oder</w:t>
      </w:r>
    </w:p>
    <w:p>
      <w:pPr>
        <w:numPr>
          <w:ilvl w:val="0"/>
          <w:numId w:val="1120439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eine Regelung, nach welcher mehrere Personen bei einem
Vertretungsakt gemeinsam agieren müssen.</w:t>
      </w:r>
    </w:p>
    <w:p>
      <w:pPr>
        <w:widowControl w:val="on"/>
        <w:pBdr/>
        <w:spacing w:before="140" w:after="240" w:line="288" w:lineRule="auto"/>
        <w:ind w:left="0" w:right="0"/>
        <w:jc w:val="left"/>
      </w:pPr>
      <w:r>
        <w:rPr>
          <w:rFonts w:ascii="Arial" w:hAnsi="Arial" w:eastAsia="Arial" w:cs="Arial"/>
          <w:color w:val="000000"/>
          <w:sz w:val="20"/>
          <w:szCs w:val="20"/>
        </w:rPr>
        <w:t xml:space="preserve">Das Gesetz stellt in den Absätzen 2 und 3 des § 125 UGB
verschiedene Möglichkeiten zur Verfügung:</w:t>
      </w:r>
    </w:p>
    <w:p>
      <w:pPr>
        <w:numPr>
          <w:ilvl w:val="0"/>
          <w:numId w:val="8233489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Gesellschaftsvertrag kann bestimmt werden, dass alle oder
mehrere Gesellschafter nur in Gemeinschaft zur Vertretung der
Gesellschaft ermächtigt sein sollen (Gesamtvertretung). Die zur
Gesamtvertretung berechtigten Gesellschafter können Einzelne von
ihnen zur Vornahme bestimmter Geschäfte oder bestimmter Arten von
Geschäften ermächtigen. Ist der Gesellschaft gegenüber eine
Willenserklärung abzugeben, so genügt jedenfalls die Abgabe
gegenüber einem der zur Mitwirkung bei der Vertretung befugten
Gesellschafter (passive Einzelvertretung).</w:t>
      </w:r>
    </w:p>
    <w:p>
      <w:pPr>
        <w:numPr>
          <w:ilvl w:val="0"/>
          <w:numId w:val="8233489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Gesellschaftsvertrag kann bestimmt werden, dass die
Gesellschafter, wenn nicht mehrere zusammen handeln, nur in
Gemeinschaft mit einem Prokuristen zur Vertretung der Gesellschaft
ermächtigt sein sollen (gemischte Gesamtvertretung). Die
Vorschriften des Abs 2 zweiter und dritter Satz finden in
diesem Fall entsprechende Anwendung.</w:t>
      </w:r>
    </w:p>
    <w:p>
      <w:pPr>
        <w:widowControl w:val="on"/>
        <w:pBdr/>
        <w:spacing w:before="140" w:after="240" w:line="288" w:lineRule="auto"/>
        <w:ind w:left="0" w:right="0"/>
        <w:jc w:val="left"/>
      </w:pPr>
      <w:r>
        <w:rPr>
          <w:rFonts w:ascii="Arial" w:hAnsi="Arial" w:eastAsia="Arial" w:cs="Arial"/>
          <w:color w:val="000000"/>
          <w:sz w:val="20"/>
          <w:szCs w:val="20"/>
        </w:rPr>
        <w:t xml:space="preserve">Entscheiden sich die Gründer der KG im Gesellschaftsvertrag für
die Gesamtvertretung durch – alle oder mehrere – Komplementäre, so
bedeutet dies, dass Vertretungsakte von diesen Komplementären nur
einhellig (zB Unterfertigung einer Vertragsurkunde durch alle
Gesamtvertreter) gesetzt werden können. (Haben einzelne, aber nicht
alle Gesamtvertreter am Vertretungsakt mitgewirkt [zB eine
Vertragsurkunde unterschrieben], so ist das Geschäft „schwebend
unwirksam“ und erlangt erst durch das Handeln der übrigen
Gesamtvertreter volle Wirksamkeit).</w:t>
      </w:r>
    </w:p>
    <w:p>
      <w:pPr>
        <w:widowControl w:val="on"/>
        <w:pBdr/>
        <w:spacing w:before="140" w:after="240" w:line="288" w:lineRule="auto"/>
        <w:ind w:left="0" w:right="0"/>
        <w:jc w:val="left"/>
      </w:pPr>
      <w:r>
        <w:rPr>
          <w:rFonts w:ascii="Arial" w:hAnsi="Arial" w:eastAsia="Arial" w:cs="Arial"/>
          <w:color w:val="000000"/>
          <w:sz w:val="20"/>
          <w:szCs w:val="20"/>
        </w:rPr>
        <w:t xml:space="preserve">Außer dieser „echten“ Gesamtvertretung kann auch eine
„gemischte“ oder „unechte“ Gesamtvertretung
gesellschaftsvertraglich vorgesehen werden:</w:t>
      </w:r>
    </w:p>
    <w:p>
      <w:pPr>
        <w:widowControl w:val="on"/>
        <w:pBdr/>
        <w:spacing w:before="140" w:after="240" w:line="288" w:lineRule="auto"/>
        <w:ind w:left="0" w:right="0"/>
        <w:jc w:val="left"/>
      </w:pPr>
      <w:r>
        <w:rPr>
          <w:rFonts w:ascii="Arial" w:hAnsi="Arial" w:eastAsia="Arial" w:cs="Arial"/>
          <w:color w:val="000000"/>
          <w:sz w:val="20"/>
          <w:szCs w:val="20"/>
        </w:rPr>
        <w:t xml:space="preserve">Ein oder mehrere Komplementäre ist/sind nur gemeinsam mit einem
Prokuristen vertretungsbefugt. In diesem Fall richtet sich der
Umfang der Vertretungsbefugnis des Prokuristen nach der des
Gesellschafters (siehe unten; der Prokurist kann also hier zB auch
an der Erteilung einer Prokura mitwirken).</w:t>
      </w:r>
    </w:p>
    <w:p>
      <w:pPr>
        <w:widowControl w:val="on"/>
        <w:pBdr/>
        <w:spacing w:before="140" w:after="240" w:line="288" w:lineRule="auto"/>
        <w:ind w:left="0" w:right="0"/>
        <w:jc w:val="left"/>
      </w:pPr>
      <w:r>
        <w:rPr>
          <w:rFonts w:ascii="Arial" w:hAnsi="Arial" w:eastAsia="Arial" w:cs="Arial"/>
          <w:color w:val="000000"/>
          <w:sz w:val="20"/>
          <w:szCs w:val="20"/>
        </w:rPr>
        <w:t xml:space="preserve">Festzuhalten ist jedoch, dass der Gesellschaftsvertrag die
gemischte Gesamtvertretung nicht als die einzige Möglichkeit der
Vertretung der KG vorsehen darf; wegen des Prinzips der
Selbstorganschaft muss vielmehr immer eine Variante offenstehen,
bei der die Gesellschaft nur durch einen oder mehrere
Komplementär(e) ohne die Mitwirkung eines Prokuristen vertreten
wird.</w:t>
      </w:r>
    </w:p>
    <w:p>
      <w:pPr>
        <w:widowControl w:val="on"/>
        <w:pBdr/>
        <w:spacing w:before="140" w:after="240" w:line="288" w:lineRule="auto"/>
        <w:ind w:left="0" w:right="0"/>
        <w:jc w:val="left"/>
      </w:pPr>
      <w:r>
        <w:rPr>
          <w:rFonts w:ascii="Arial" w:hAnsi="Arial" w:eastAsia="Arial" w:cs="Arial"/>
          <w:color w:val="000000"/>
          <w:sz w:val="20"/>
          <w:szCs w:val="20"/>
        </w:rPr>
        <w:t xml:space="preserve">Im Fall der Gesamtvertretung – mag sie echt oder gemischt sein –
kommt jedem Vertreter die passive Einzelvertretungsbefugnis zu, das
heißt, eine Erklärung (zB Kündigung, Vertragsanbot, Erklärung der
Annahme eines Vertragsanbotes) gilt als der KG zugegangen, wenn sie
einem der Gesamtvertreter zugegangen ist.</w:t>
      </w:r>
    </w:p>
    <w:p>
      <w:pPr>
        <w:widowControl w:val="on"/>
        <w:pBdr/>
        <w:spacing w:before="140" w:after="240" w:line="288" w:lineRule="auto"/>
        <w:ind w:left="0" w:right="0"/>
        <w:jc w:val="left"/>
      </w:pPr>
      <w:r>
        <w:rPr>
          <w:rFonts w:ascii="Arial" w:hAnsi="Arial" w:eastAsia="Arial" w:cs="Arial"/>
          <w:color w:val="000000"/>
          <w:sz w:val="20"/>
          <w:szCs w:val="20"/>
        </w:rPr>
        <w:t xml:space="preserve">Bei jeder Form der Gesamtvertretung besteht weiters die
Möglichkeit, dass einzelne Vertreter zur selbstständigen Vornahme
bestimmter Geschäfte oder von bestimmten Arten von Geschäften
ermächtigt werden (der Ermächtigende erteilt diesfalls gleichsam
die bei der Gesamtvertretung notwendige Zustimmung im Voraus.
Ausgeschlossen ist eine Ermächtigung zu sämtlichen Geschäften, die
im Rahmen der Gesamtvertretung möglich sind; für diesen Ausschluss
spricht nicht nur der Gesetzestext, sondern auch der Umstand, dass
ansonsten die Vertreter die gesellschaftsvertragliche Anordnung der
Gesamtvertretung aushebeln könnten).</w:t>
      </w:r>
    </w:p>
    <w:p>
      <w:pPr>
        <w:widowControl w:val="on"/>
        <w:pBdr/>
        <w:spacing w:before="140" w:after="240" w:line="288" w:lineRule="auto"/>
        <w:ind w:left="0" w:right="0"/>
        <w:jc w:val="left"/>
      </w:pPr>
      <w:r>
        <w:rPr>
          <w:rFonts w:ascii="Arial" w:hAnsi="Arial" w:eastAsia="Arial" w:cs="Arial"/>
          <w:color w:val="000000"/>
          <w:sz w:val="20"/>
          <w:szCs w:val="20"/>
        </w:rPr>
        <w:t xml:space="preserve">Wichtig ist festzuhalten, dass die §§ 125 und 170 UGB
zwingenden Charakter haben und widersprechende Anordnungen im
Gesellschaftsvertrag – zB der Ausschluss der passiven
Einzelvertretungsbefugnis bei der Gesamtvertretung – daher
unzulässig sind.</w:t>
      </w:r>
    </w:p>
    <w:p>
      <w:pPr>
        <w:widowControl w:val="on"/>
        <w:pBdr/>
        <w:spacing w:before="140" w:after="240" w:line="288" w:lineRule="auto"/>
        <w:ind w:left="0" w:right="0"/>
        <w:jc w:val="left"/>
      </w:pPr>
      <w:r>
        <w:rPr>
          <w:rFonts w:ascii="Arial" w:hAnsi="Arial" w:eastAsia="Arial" w:cs="Arial"/>
          <w:color w:val="000000"/>
          <w:sz w:val="20"/>
          <w:szCs w:val="20"/>
        </w:rPr>
        <w:t xml:space="preserve">Nach den zwingenden Bestimmungen des Gesetzes kann einem
Kommanditisten im Gesellschaftsvertrag somit keine organschaftliche
Vertretungsbefugnis für die Kommanditgesellschaft eingeräumt
werden; da aber im hier vorliegenden Musterfall eine Vertretung der
Gesellschaft durch den Kommanditisten Sigfried Süßer (der ja den
Konditoreibereich betreuen soll) durchaus wünschenswert scheint,
ist als Textvariante die Hinzufügung einer Bestimmung vorgesehen,
mittels derer diesem Kommanditisten eine rechtsgeschäftliche
Vertretungsbefugnis in Gestalt einer Prokura eingeräumt werden soll
(diese Prokura enthält nicht den Zusatz betreffend die Veräußerung
oder Belastung von Grundstücken, da derartige Tätigkeiten nicht in
den Aufgabenbereich Sigfried Süßers fallen).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XXII. des Vertragsmusters (Haftung der Gesellschafter
für Verbindlichkeiten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Für die als „Gesamthandschaft“ konstruierte KG ist
charakteristisch, dass für Verbindlichkeiten der Gesellschaft
(mögen sie vertraglichen [zB: Kaufpreisschuld], zivilgesetzlichen
[zB: Schadenersatzpflicht], steuerrechtlichen oder sonstigen
Ursprungs sein) neben der Gesellschaft selbst auch deren
Gesellschafter persönlich (mit ihrem Privatvermögen) haften; dabei
ist – was eine Besonderheit der KG darstellt – hinsichtlich des
Ausmaßes der Haftung zwischen den beiden Gesellschaftertypen zu
unterscheiden:</w:t>
      </w:r>
    </w:p>
    <w:p>
      <w:pPr>
        <w:numPr>
          <w:ilvl w:val="0"/>
          <w:numId w:val="785164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Komplementäre haften ohne betragliche Beschränkung,</w:t>
      </w:r>
    </w:p>
    <w:p>
      <w:pPr>
        <w:numPr>
          <w:ilvl w:val="0"/>
          <w:numId w:val="7851642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der Kommanditisten dagegen ist auf einen
Höchstbetrag („Haftsumme“) beschränkt.</w:t>
      </w:r>
    </w:p>
    <w:p>
      <w:pPr>
        <w:widowControl w:val="on"/>
        <w:pBdr/>
        <w:spacing w:before="140" w:after="240" w:line="288" w:lineRule="auto"/>
        <w:ind w:left="0" w:right="0"/>
        <w:jc w:val="left"/>
      </w:pPr>
      <w:r>
        <w:rPr>
          <w:rFonts w:ascii="Arial" w:hAnsi="Arial" w:eastAsia="Arial" w:cs="Arial"/>
          <w:color w:val="000000"/>
          <w:sz w:val="20"/>
          <w:szCs w:val="20"/>
        </w:rPr>
        <w:t xml:space="preserve">Konkret ist die Haftung durch die – wegen der Zielsetzung des
Schutzes Dritter (der Gläubiger) zwingenden, also nicht durch
Gesellschaftsvertrag abänderbaren – gesetzlichen Bestimmungen wie
folgt gestaltet:</w:t>
      </w:r>
    </w:p>
    <w:p>
      <w:pPr>
        <w:widowControl w:val="on"/>
        <w:pBdr/>
        <w:spacing w:before="140" w:after="240" w:line="288" w:lineRule="auto"/>
        <w:ind w:left="0" w:right="0"/>
        <w:jc w:val="left"/>
      </w:pPr>
      <w:r>
        <w:rPr>
          <w:rFonts w:ascii="Arial" w:hAnsi="Arial" w:eastAsia="Arial" w:cs="Arial"/>
          <w:color w:val="000000"/>
          <w:sz w:val="20"/>
          <w:szCs w:val="20"/>
        </w:rPr>
        <w:t xml:space="preserve">Grundlegend ist § 128 iVm § 161 Abs 2 UGB, wonach
die Gesellschafter für die Verbindlichkeiten der Gesellschaft den
Gläubigern als Gesamtschuldner unbeschränkt haften und eine
entgegenstehende Vereinbarung Dritten gegenüber unwirksam ist.</w:t>
      </w:r>
    </w:p>
    <w:p>
      <w:pPr>
        <w:widowControl w:val="on"/>
        <w:pBdr/>
        <w:spacing w:before="140" w:after="240" w:line="288" w:lineRule="auto"/>
        <w:ind w:left="0" w:right="0"/>
        <w:jc w:val="left"/>
      </w:pPr>
      <w:r>
        <w:rPr>
          <w:rFonts w:ascii="Arial" w:hAnsi="Arial" w:eastAsia="Arial" w:cs="Arial"/>
          <w:color w:val="000000"/>
          <w:sz w:val="20"/>
          <w:szCs w:val="20"/>
        </w:rPr>
        <w:t xml:space="preserve">Die konkrete Ausformung der Haftung ergibt sich in Zusammenschau
mit dem gem § 161 Abs 2 anzuwendenden § 129
UGB, wonach die folgende Regelung gilt:</w:t>
      </w:r>
    </w:p>
    <w:p>
      <w:pPr>
        <w:numPr>
          <w:ilvl w:val="0"/>
          <w:numId w:val="7640293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ein Gesellschafter wegen einer Verbindlichkeit der
Gesellschaft in Anspruch genommen, so kann er Einwendungen, die
nicht in seiner Person begründet sind, nur insoweit geltend machen,
als sie von der Gesellschaft erhoben werden können.</w:t>
      </w:r>
    </w:p>
    <w:p>
      <w:pPr>
        <w:numPr>
          <w:ilvl w:val="0"/>
          <w:numId w:val="7640293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kann die Befriedigung des Gläubigers
verweigern, solange der Gesellschaft das Recht zusteht, das ihrer
Verbindlichkeit zugrunde liegende Rechtsgeschäft anzufechten.</w:t>
      </w:r>
    </w:p>
    <w:p>
      <w:pPr>
        <w:numPr>
          <w:ilvl w:val="0"/>
          <w:numId w:val="7640293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gleiche Befugnis hat der Gesellschafter, solange sich der
Gläubiger durch Aufrechnung gegen eine fällige Forderung der
Gesellschaft befriedigen kann.</w:t>
      </w:r>
    </w:p>
    <w:p>
      <w:pPr>
        <w:numPr>
          <w:ilvl w:val="0"/>
          <w:numId w:val="7640293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 einem gegen die Gesellschaft gerichteten vollstreckbaren
Schuldtitel findet die Zwangsvollstreckung gegen die Gesellschafter
nicht statt.</w:t>
      </w:r>
    </w:p>
    <w:p>
      <w:pPr>
        <w:widowControl w:val="on"/>
        <w:pBdr/>
        <w:spacing w:before="140" w:after="240" w:line="288" w:lineRule="auto"/>
        <w:ind w:left="0" w:right="0"/>
        <w:jc w:val="left"/>
      </w:pPr>
      <w:r>
        <w:rPr>
          <w:rFonts w:ascii="Arial" w:hAnsi="Arial" w:eastAsia="Arial" w:cs="Arial"/>
          <w:color w:val="000000"/>
          <w:sz w:val="20"/>
          <w:szCs w:val="20"/>
        </w:rPr>
        <w:t xml:space="preserve">Die Haftung eines Gesellschafters weist demnach grundsätzlich
die nachstehenden Eigenschaften auf:</w:t>
      </w:r>
    </w:p>
    <w:p>
      <w:pPr>
        <w:numPr>
          <w:ilvl w:val="0"/>
          <w:numId w:val="960656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persönlich, das heißt, der Gesellschafter haftet mit
seinem gesamten Privatvermögen (soweit dieses nicht aus anderen
Gründen der Exekution entzogen ist) und nicht etwa bloß mit seiner
Einlage.</w:t>
      </w:r>
    </w:p>
    <w:p>
      <w:pPr>
        <w:numPr>
          <w:ilvl w:val="0"/>
          <w:numId w:val="960656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unbeschränkt, das heißt, die Haftung erstreckt sich auf
die Gesellschaftsverbindlichkeit in ihrer vollen Höhe (und nicht
nur bis zur Höhe der Einlage; demnach haftet ein entsprechend einer
Einlage von EUR 10.000,– an einer KG beteiligter
Gesellschafter unter Umständen für eine Verbindlichkeit von
EUR 500.000,–).</w:t>
      </w:r>
    </w:p>
    <w:p>
      <w:pPr>
        <w:numPr>
          <w:ilvl w:val="0"/>
          <w:numId w:val="960656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direkt, das heißt, die Ansprüche des Gläubigers
bestehen direkt gegenüber dem Gesellschafter; der Gläubiger der
Gesellschaft kann sich unmittelbar an den Gesellschafter wenden,
ohne seine Forderung gegenüber der Gesellschaft geltend zu machen
(der Autohändler, welcher einen Lieferwagen an die Meier, Müller
&amp; Co KG verkauft hat, kann den Kaufpreis direkt bei
Komplementär Meier oder Komplementär Müller einklagen, ohne eine
Klage gegen die Gesellschaft zu erheben. Insbesondere ist es nicht
erforderlich, dass ein Gesellschaftsgläubiger zunächst die
Gesellschaft klagt, Ansprüche der Gesellschaft gegen einen
Gesellschafter pfändet und dann diese Ansprüche gegen den
Gesellschafter geltend macht).</w:t>
      </w:r>
    </w:p>
    <w:p>
      <w:pPr>
        <w:numPr>
          <w:ilvl w:val="0"/>
          <w:numId w:val="960656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ist primär, das heißt, der Gesellschafter haftet
ohne Rücksicht darauf, ob die Forderung des Gesellschaftsgläubigers
gegenüber der Gesellschaft einbringlich oder (etwa wegen
Gesellschaftskonkurses) nicht einbringlich wäre; der Gesellschafter
kann also dem Gläubiger nicht entgegenhalten, dass dieser
Befriedigung aus dem Gesellschaftsvermögen erlangen könnte.</w:t>
      </w:r>
    </w:p>
    <w:p>
      <w:pPr>
        <w:numPr>
          <w:ilvl w:val="0"/>
          <w:numId w:val="960656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ist solidarisch, das heißt, jeder Gesellschafter
haftet für die gesamte Verbindlichkeit; der Gläubiger kann nach
seinem Belieben die Gesellschaft, alle Gesellschafter oder auch
irgendeinen der Gesellschafter für die Begleichung der vollen
Verbindlichkeit in Anspruch nehmen.</w:t>
      </w:r>
      <w:r>
        <w:rPr>
          <w:rFonts w:ascii="Arial" w:hAnsi="Arial" w:eastAsia="Arial" w:cs="Arial"/>
          <w:color w:val="000000"/>
          <w:sz w:val="20"/>
          <w:szCs w:val="20"/>
        </w:rPr>
        <w:br/>
        <w:t xml:space="preserve">(Beispiel: Wenn der Gläubiger gegen eine Gesellschaft mit vier
Gesellschaftern eine Forderung auf EUR 20.000,– hat, so
braucht er nicht jeden Gesellschafter auf jeweils EUR 5.000,–
zu klagen, sondern er kann vielmehr die gesamte Summe gegen einen
Gesellschafter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Bezüglich der Kommanditisten wird die Haftung allerdings durch
die Bestimmungen der §§ 171 und 172 UGB beschränkt:</w:t>
      </w:r>
    </w:p>
    <w:p>
      <w:pPr>
        <w:widowControl w:val="on"/>
        <w:pBdr/>
        <w:spacing w:before="140" w:after="240" w:line="288" w:lineRule="auto"/>
        <w:ind w:left="0" w:right="0"/>
        <w:jc w:val="left"/>
      </w:pPr>
      <w:r>
        <w:rPr>
          <w:rFonts w:ascii="Arial" w:hAnsi="Arial" w:eastAsia="Arial" w:cs="Arial"/>
          <w:color w:val="000000"/>
          <w:sz w:val="20"/>
          <w:szCs w:val="20"/>
        </w:rPr>
        <w:t xml:space="preserve">§ 171 Abs 1 UGB normiert, dass der Kommanditist den
Gläubigern der Gesellschaft bis zur Höhe der im Firmenbuch
eingetragenen Haftsumme unmittelbar haftet; die Haftung ist
ausgeschlossen, soweit die Einlage geleistet ist; auf Verlangen hat
der Kommanditist den Gläubigern über die Höhe der geleisteten
Einlage binnen angemessener Frist Auskunft zu geben.</w:t>
      </w:r>
    </w:p>
    <w:p>
      <w:pPr>
        <w:widowControl w:val="on"/>
        <w:pBdr/>
        <w:spacing w:before="140" w:after="240" w:line="288" w:lineRule="auto"/>
        <w:ind w:left="0" w:right="0"/>
        <w:jc w:val="left"/>
      </w:pPr>
      <w:r>
        <w:rPr>
          <w:rFonts w:ascii="Arial" w:hAnsi="Arial" w:eastAsia="Arial" w:cs="Arial"/>
          <w:color w:val="000000"/>
          <w:sz w:val="20"/>
          <w:szCs w:val="20"/>
        </w:rPr>
        <w:t xml:space="preserve">Zum Zweck der Vermeidung von Missverständnissen bei der
Interpretation dieser für die Position des Kommanditisten
essenziellen Bestimmung sei zunächst eine Klärung der Begriffe
„Haftsumme“ und „Einlage“ vorgenommen:</w:t>
      </w:r>
    </w:p>
    <w:p>
      <w:pPr>
        <w:numPr>
          <w:ilvl w:val="0"/>
          <w:numId w:val="1293223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„Haftsumme“ ist jener Geldbetrag, bis zu dessen Höhe der
Kommanditist für Verbindlichkeiten der Gesellschaft den Gläubigern
unmittelbar haftet (wobei die gesamte Haftung des Kommanditisten
für alle Verbindlichkeiten zusammen durch die Höhe der Haftsumme
begrenzt wird, nicht etwa bloß die Haftung im einzelnen
Haftungsfall); für die haftungsbegrenzende Wirkung ist die
Eintragung der Haftsumme in das Firmenbuch erforderlich (da die
Haftsumme die Haftung des Kommanditisten gegenüber Dritten
(Personen, die nicht Partner des Gesellschaftsvertrages sind)
beschränkt, müssen diese Dritten die Möglichkeit haben, von der
Haftsumme Kenntnis zu erlangen).</w:t>
      </w:r>
    </w:p>
    <w:p>
      <w:pPr>
        <w:numPr>
          <w:ilvl w:val="0"/>
          <w:numId w:val="1293223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„Einlage“ des Kommanditisten (auch „bedungene Einlage“ oder
„Pflichteinlage“) ist jener Vermögenswert, zu dessen Leistung an
die Gesellschaft der Kommanditist sich im Gesellschaftsvertrag
verpflichtet (zB: „Kommanditist Schulze leistet eine Bareinlage von
EUR 10.000,–“); die Einlage betrifft also grundsätzlich das
Innenverhältnis der KG (sie ist nach dem gesetzlichen Leitmodell
insbesondere für die Bestimmung des Kapitalanteils des
Kommanditisten relevant).</w:t>
      </w:r>
    </w:p>
    <w:p>
      <w:pPr>
        <w:widowControl w:val="on"/>
        <w:pBdr/>
        <w:spacing w:before="140" w:after="240" w:line="288" w:lineRule="auto"/>
        <w:ind w:left="0" w:right="0"/>
        <w:jc w:val="left"/>
      </w:pPr>
      <w:r>
        <w:rPr>
          <w:rFonts w:ascii="Arial" w:hAnsi="Arial" w:eastAsia="Arial" w:cs="Arial"/>
          <w:color w:val="000000"/>
          <w:sz w:val="20"/>
          <w:szCs w:val="20"/>
        </w:rPr>
        <w:t xml:space="preserve">Die beiden Beträge können im Gesellschaftsvertrag beliebig und
unabhängig von einander festgelegt werden:</w:t>
      </w:r>
    </w:p>
    <w:p>
      <w:pPr>
        <w:numPr>
          <w:ilvl w:val="0"/>
          <w:numId w:val="5946564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Einerseits könnte der Kommanditist A, der sich mit einem hohen
Betrag an der Gesellschaft beteiligen, aber nicht von einem
Gläubiger vor dem Handelsgericht geklagt werden können will, eine
bedungene Einlage von EUR 25.000,– und eine ins Firmenbuch
einzutragende Haftsumme von nur EUR 5.000,– vereinbaren.</w:t>
      </w:r>
    </w:p>
    <w:p>
      <w:pPr>
        <w:numPr>
          <w:ilvl w:val="0"/>
          <w:numId w:val="5946564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Andererseits könnte der Kommanditist B, der die KG seiner
Neffen (Komplementäre) durch die Übernahme einer hohen Haftung
unterstützten möchte, ohne Geld für eine Einlagenzahlung in die
Hand nehmen zu müssen, gesellschaftsvertraglich eine Einlage von
EUR 5.000,– und eine Haftsumme von EUR 25.000,–
vereinbaren.</w:t>
      </w:r>
    </w:p>
    <w:p>
      <w:pPr>
        <w:widowControl w:val="on"/>
        <w:pBdr/>
        <w:spacing w:before="140" w:after="240" w:line="288" w:lineRule="auto"/>
        <w:ind w:left="0" w:right="0"/>
        <w:jc w:val="left"/>
      </w:pPr>
      <w:r>
        <w:rPr>
          <w:rFonts w:ascii="Arial" w:hAnsi="Arial" w:eastAsia="Arial" w:cs="Arial"/>
          <w:color w:val="000000"/>
          <w:sz w:val="20"/>
          <w:szCs w:val="20"/>
        </w:rPr>
        <w:t xml:space="preserve">Die Möglichkeit der Gesellschaftsgläubiger, die ihnen gegen die
KG zustehenden Forderungen gegen einen Kommanditisten geltend zu
machen, wird durch die im Firmenbuch eingetragene Haftsumme dieses
Kommanditisten begrenzt.</w:t>
      </w:r>
    </w:p>
    <w:p>
      <w:pPr>
        <w:widowControl w:val="on"/>
        <w:pBdr/>
        <w:spacing w:before="140" w:after="240" w:line="288" w:lineRule="auto"/>
        <w:ind w:left="0" w:right="0"/>
        <w:jc w:val="left"/>
      </w:pPr>
      <w:r>
        <w:rPr>
          <w:rFonts w:ascii="Arial" w:hAnsi="Arial" w:eastAsia="Arial" w:cs="Arial"/>
          <w:color w:val="000000"/>
          <w:sz w:val="20"/>
          <w:szCs w:val="20"/>
        </w:rPr>
        <w:t xml:space="preserve">Einlage und Haftungsbegrenzung werden allerdings durch den
zweiten Halbsatz des ersten Satzes des § 171 Abs 1 UGB
(„die Haftung ist ausgeschlossen, soweit die Einlage geleistet
ist“) miteinander verknüpft:</w:t>
      </w:r>
    </w:p>
    <w:p>
      <w:pPr>
        <w:widowControl w:val="on"/>
        <w:pBdr/>
        <w:spacing w:before="140" w:after="240" w:line="288" w:lineRule="auto"/>
        <w:ind w:left="0" w:right="0"/>
        <w:jc w:val="left"/>
      </w:pPr>
      <w:r>
        <w:rPr>
          <w:rFonts w:ascii="Arial" w:hAnsi="Arial" w:eastAsia="Arial" w:cs="Arial"/>
          <w:color w:val="000000"/>
          <w:sz w:val="20"/>
          <w:szCs w:val="20"/>
        </w:rPr>
        <w:t xml:space="preserve">Wenn etwa</w:t>
      </w:r>
    </w:p>
    <w:p>
      <w:pPr>
        <w:numPr>
          <w:ilvl w:val="0"/>
          <w:numId w:val="198853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im Firmenbuch eingetragene Haftsumme eines Kommanditisten
EUR 30.000,– beträgt und</w:t>
      </w:r>
    </w:p>
    <w:p>
      <w:pPr>
        <w:numPr>
          <w:ilvl w:val="0"/>
          <w:numId w:val="198853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Kommanditist bereits EUR 10.000,– als Einlage an die
KG geleistet (zB eine bedungene Einlage von EUR 20.000,– zur
Hälfte einbezahlt) hat,</w:t>
      </w:r>
    </w:p>
    <w:p>
      <w:pPr>
        <w:widowControl w:val="on"/>
        <w:pBdr/>
        <w:spacing w:before="140" w:after="240" w:line="288" w:lineRule="auto"/>
        <w:ind w:left="0" w:right="0"/>
        <w:jc w:val="left"/>
      </w:pPr>
      <w:r>
        <w:rPr>
          <w:rFonts w:ascii="Arial" w:hAnsi="Arial" w:eastAsia="Arial" w:cs="Arial"/>
          <w:color w:val="000000"/>
          <w:sz w:val="20"/>
          <w:szCs w:val="20"/>
        </w:rPr>
        <w:t xml:space="preserve">dann ist die Haftung des Kommanditisten gegenüber
Gesellschaftsgläubigern auf EUR 30.000,00 – EUR 10.000,00
= EUR 20.000,00 beschränkt.</w:t>
      </w:r>
    </w:p>
    <w:p>
      <w:pPr>
        <w:widowControl w:val="on"/>
        <w:pBdr/>
        <w:spacing w:before="140" w:after="240" w:line="288" w:lineRule="auto"/>
        <w:ind w:left="0" w:right="0"/>
        <w:jc w:val="left"/>
      </w:pPr>
      <w:r>
        <w:rPr>
          <w:rFonts w:ascii="Arial" w:hAnsi="Arial" w:eastAsia="Arial" w:cs="Arial"/>
          <w:color w:val="000000"/>
          <w:sz w:val="20"/>
          <w:szCs w:val="20"/>
        </w:rPr>
        <w:t xml:space="preserve">Hinter dieser Regelung steht die Erwägung des Gesetzgebers, dass
ein Kommanditist, der eine Einlage in die KG geleistet hat, bereits
im entsprechenden Umfang den Gläubigern dienlich gewesen ist, da ja
die Gläubiger im Rahmen einer Exekution gegen die KG auf den
nunmehr zum Gesellschaftsvermögen gehörenden Einlagenbetrag greifen
können.</w:t>
      </w:r>
    </w:p>
    <w:p>
      <w:pPr>
        <w:widowControl w:val="on"/>
        <w:pBdr/>
        <w:spacing w:before="140" w:after="240" w:line="288" w:lineRule="auto"/>
        <w:ind w:left="0" w:right="0"/>
        <w:jc w:val="left"/>
      </w:pPr>
      <w:r>
        <w:rPr>
          <w:rFonts w:ascii="Arial" w:hAnsi="Arial" w:eastAsia="Arial" w:cs="Arial"/>
          <w:color w:val="000000"/>
          <w:sz w:val="20"/>
          <w:szCs w:val="20"/>
        </w:rPr>
        <w:t xml:space="preserve">In Korrespondenz mit der genannten Erwägung des Gesetzgebers
sieht § 172 Abs 3 UGB in seinen ersten beiden Sätzen eine
Erweiterung der Haftung im Fall einer Rückzahlung von
Einlagenbeträgen vor:</w:t>
      </w:r>
    </w:p>
    <w:p>
      <w:pPr>
        <w:widowControl w:val="on"/>
        <w:pBdr/>
        <w:spacing w:before="140" w:after="240" w:line="288" w:lineRule="auto"/>
        <w:ind w:left="0" w:right="0"/>
        <w:jc w:val="left"/>
      </w:pPr>
      <w:r>
        <w:rPr>
          <w:rFonts w:ascii="Arial" w:hAnsi="Arial" w:eastAsia="Arial" w:cs="Arial"/>
          <w:color w:val="000000"/>
          <w:sz w:val="20"/>
          <w:szCs w:val="20"/>
        </w:rPr>
        <w:t xml:space="preserve">Soweit die Einlage eines Kommanditisten zurückgezahlt wird, gilt
sie den Gläubigern gegenüber als nicht geleistet. Das Gleiche gilt,
soweit der Kommanditist Gewinnanteile entnimmt, obwohl frühere
Verlustzuweisungen noch nicht durch spätere Gewinne ausgeglichen
wurden.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XXVI. des Vertragsmusters (Auflösung durch ordentliche
Kündigung seitens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gesetzlichen Bestimmungen (§ 132 iVm § 161
Abs 2 UGB) bieten Komplementären und Kommanditisten ein
Ausstiegsszenario:</w:t>
      </w:r>
    </w:p>
    <w:p>
      <w:pPr>
        <w:numPr>
          <w:ilvl w:val="0"/>
          <w:numId w:val="216647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Kündigung eines Gesellschafters kann, wenn die Gesellschaft
für unbestimmte Zeit eingegangen ist, nur für den Schluss eines
Geschäftsjahrs erfolgen; sie muss mindestens sechs Monate vor
diesem Zeitpunkt stattfinden.</w:t>
      </w:r>
    </w:p>
    <w:p>
      <w:pPr>
        <w:numPr>
          <w:ilvl w:val="0"/>
          <w:numId w:val="2166479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Vereinbarung, durch die das Kündigungsrecht ausgeschlossen
oder in anderer Weise als durch angemessene Verlängerung der
Kündigungsfrist erschwert wird, ist nichtig.</w:t>
      </w:r>
    </w:p>
    <w:p>
      <w:pPr>
        <w:widowControl w:val="on"/>
        <w:pBdr/>
        <w:spacing w:before="140" w:after="240" w:line="288" w:lineRule="auto"/>
        <w:ind w:left="0" w:right="0"/>
        <w:jc w:val="left"/>
      </w:pPr>
      <w:r>
        <w:rPr>
          <w:rFonts w:ascii="Arial" w:hAnsi="Arial" w:eastAsia="Arial" w:cs="Arial"/>
          <w:color w:val="000000"/>
          <w:sz w:val="20"/>
          <w:szCs w:val="20"/>
        </w:rPr>
        <w:t xml:space="preserve">Hier sieht das Gesetz die Möglichkeit einer so genannten
„Auflösungskündigung“ durch den Gesellschafter vor:</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der KG hat das Recht, durch eine
ordentliche (frist- und termingebundene, aber keinen wichtigen
Grund voraussetzende) Kündigung die Auflösung der Gesellschaft
herbeizuführen (vgl den Auflösungsgrund nach § 131 Z 6,
1. Fall UGB).</w:t>
      </w:r>
    </w:p>
    <w:p>
      <w:pPr>
        <w:widowControl w:val="on"/>
        <w:pBdr/>
        <w:spacing w:before="140" w:after="240" w:line="288" w:lineRule="auto"/>
        <w:ind w:left="0" w:right="0"/>
        <w:jc w:val="left"/>
      </w:pPr>
      <w:r>
        <w:rPr>
          <w:rFonts w:ascii="Arial" w:hAnsi="Arial" w:eastAsia="Arial" w:cs="Arial"/>
          <w:color w:val="000000"/>
          <w:sz w:val="20"/>
          <w:szCs w:val="20"/>
        </w:rPr>
        <w:t xml:space="preserve">Die Kündigungsfrist beträgt sechs Monate, die Kündigung hat
jeweils zum Schluss des Geschäftsjahres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Kündigung ist an die übrigen Gesellschafter zu richten; eine
Kündigungserklärung gegenüber der Gesellschaft genügt nicht.</w:t>
      </w:r>
    </w:p>
    <w:p>
      <w:pPr>
        <w:widowControl w:val="on"/>
        <w:pBdr/>
        <w:spacing w:before="140" w:after="240" w:line="288" w:lineRule="auto"/>
        <w:ind w:left="0" w:right="0"/>
        <w:jc w:val="left"/>
      </w:pPr>
      <w:r>
        <w:rPr>
          <w:rFonts w:ascii="Arial" w:hAnsi="Arial" w:eastAsia="Arial" w:cs="Arial"/>
          <w:color w:val="000000"/>
          <w:sz w:val="20"/>
          <w:szCs w:val="20"/>
        </w:rPr>
        <w:t xml:space="preserve">Im Fall der Kündigung können die übrigen Gesellschafter einen
Fortsetzungsbeschluss (§ 141 iVm § 161 Abs 2 UGB)
fassen, was die Fortsetzung der Gesellschaft unter Ausscheiden des
kündigenden Gesellschafters zur Folge hat.</w:t>
      </w:r>
    </w:p>
    <w:p>
      <w:pPr>
        <w:widowControl w:val="on"/>
        <w:pBdr/>
        <w:spacing w:before="140" w:after="240" w:line="288" w:lineRule="auto"/>
        <w:ind w:left="0" w:right="0"/>
        <w:jc w:val="left"/>
      </w:pPr>
      <w:r>
        <w:rPr>
          <w:rFonts w:ascii="Arial" w:hAnsi="Arial" w:eastAsia="Arial" w:cs="Arial"/>
          <w:color w:val="000000"/>
          <w:sz w:val="20"/>
          <w:szCs w:val="20"/>
        </w:rPr>
        <w:t xml:space="preserve">Das Kündigungsrecht kann dem Gesellschafter im
Gesellschaftsvertrag nicht entzogen werden, und es ist auch
unmöglich, dieses Recht einzuschränken, es sei denn durch eine
„angemessene“ Verlängerung der Kündigungsfrist (bei der Prüfung, ob
eine vertraglich vereinbarte Fristverlängerung angemessen ist, ist
das rechtliche Interesse des kündigenden Gesellschafters an der
alsbaldigen Auflösung der Gesellschaft [etwa zum Zweck der
Verhinderung des Entstehens neuer Gesellschaftsverbindlichkeiten,
für die der Gesellschafter nach § 128 UGB haften würde] gegen
das Interesse der Gesellschaft bzw der übrigen Gesellschafter an
einer Zeitspanne für die Prüfung der wirtschaftlichen
Sinnhaftigkeit eines Fortsetzungsbeschlusses oder für die
Vorbereitung der Liquidation abzuwägen).</w:t>
      </w:r>
    </w:p>
    <w:p>
      <w:pPr>
        <w:widowControl w:val="on"/>
        <w:pBdr/>
        <w:spacing w:before="140" w:after="240" w:line="288" w:lineRule="auto"/>
        <w:ind w:left="0" w:right="0"/>
        <w:jc w:val="left"/>
      </w:pPr>
      <w:r>
        <w:rPr>
          <w:rFonts w:ascii="Arial" w:hAnsi="Arial" w:eastAsia="Arial" w:cs="Arial"/>
          <w:color w:val="000000"/>
          <w:sz w:val="20"/>
          <w:szCs w:val="20"/>
        </w:rPr>
        <w:t xml:space="preserve">Zwingenden Charakter hat § 132 UGB jedoch nur insoweit, als
dadurch das Recht des Gesellschafters auf zeitnahe Beendigung
seiner Zugehörigkeit zur Gesellschaft gewahrt werden soll; daraus
ergeben sich gesellschaftsvertragliche
Modifikationsmöglichkeiten:</w:t>
      </w:r>
    </w:p>
    <w:p>
      <w:pPr>
        <w:widowControl w:val="on"/>
        <w:pBdr/>
        <w:spacing w:before="140" w:after="240" w:line="288" w:lineRule="auto"/>
        <w:ind w:left="0" w:right="0"/>
        <w:jc w:val="left"/>
      </w:pPr>
      <w:r>
        <w:rPr>
          <w:rFonts w:ascii="Arial" w:hAnsi="Arial" w:eastAsia="Arial" w:cs="Arial"/>
          <w:color w:val="000000"/>
          <w:sz w:val="20"/>
          <w:szCs w:val="20"/>
        </w:rPr>
        <w:t xml:space="preserve">Es steht den Gesellschaftern frei, im Gesellschaftsvertrag eine
Erleichterung der Kündigung durch einen Gesellschafter vorzusehen,
etwa durch eine Verkürzung der Kündigungsfrist.</w:t>
      </w:r>
    </w:p>
    <w:p>
      <w:pPr>
        <w:numPr>
          <w:ilvl w:val="0"/>
          <w:numId w:val="9668607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kann – gewissermaßen als eine Vorziehung des
Fortsetzungsbeschlusses in den Gesellschaftsvertrag – anstelle der
gesetzlichen Auflösungskündigung eine Austrittskündigung vereinbart
werden, also ein Gestaltungsrecht des Gesellschafters, durch dessen
Ausübung
</w:t>
      </w:r>
    </w:p>
    <w:p>
      <w:pPr>
        <w:numPr>
          <w:ilvl w:val="1"/>
          <w:numId w:val="9668607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betreffende Gesellschafter per Kündigungstermin aus der
Gesellschaft ausscheidet und</w:t>
      </w:r>
    </w:p>
    <w:p>
      <w:pPr>
        <w:numPr>
          <w:ilvl w:val="1"/>
          <w:numId w:val="9668607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unter den übrigen Gesellschaftern fortgesetzt
wird.</w:t>
      </w:r>
    </w:p>
    <w:p>
      <w:pPr>
        <w:widowControl w:val="on"/>
        <w:pBdr/>
        <w:spacing w:before="140" w:after="240" w:line="288" w:lineRule="auto"/>
        <w:ind w:left="0" w:right="0"/>
        <w:jc w:val="left"/>
      </w:pPr>
      <w:r>
        <w:rPr>
          <w:rFonts w:ascii="Arial" w:hAnsi="Arial" w:eastAsia="Arial" w:cs="Arial"/>
          <w:color w:val="000000"/>
          <w:sz w:val="20"/>
          <w:szCs w:val="20"/>
        </w:rPr>
        <w:t xml:space="preserve">Kommt es, etwa durch einen Fortsetzungsbeschluss der übrigen
Gesellschafter oder durch eine gesellschaftsvertraglich vorgesehene
Austrittskündigung, zum Ausscheiden eines Gesellschafters, so
findet man in § 137 iVm § 161 Abs 2 UGB Regeln für
die Auseinandersetzung mit dem Letztgenannten:</w:t>
      </w:r>
    </w:p>
    <w:p>
      <w:pPr>
        <w:numPr>
          <w:ilvl w:val="0"/>
          <w:numId w:val="530789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ausscheidenden Gesellschafter sind die Gegenstände, die er
der Gesellschaft zur Benutzung überlassen hat, zurückzugeben. Für
einen durch Zufall abhanden gekommenen oder verschlechterten
Gegenstand kann er keinen Ersatz verlangen.</w:t>
      </w:r>
    </w:p>
    <w:p>
      <w:pPr>
        <w:numPr>
          <w:ilvl w:val="0"/>
          <w:numId w:val="530789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ausscheidenden Gesellschafter ist in Geld auszuzahlen, was
er bei der Auseinandersetzung erhielte, wenn die Gesellschaft zur
Zeit seines Ausscheidens aufgelöst worden wäre. Der Wert des
Gesellschaftsvermögens ist, soweit erforderlich, durch Schätzung zu
ermitteln.</w:t>
      </w:r>
    </w:p>
    <w:p>
      <w:pPr>
        <w:numPr>
          <w:ilvl w:val="0"/>
          <w:numId w:val="530789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ausscheidende Gesellschafter ist von den
Gesellschaftsschulden zu befreien, für die er den Gläubigern
haftet. Ist eine Schuld noch nicht fällig, so kann ihm die
Gesellschaft Sicherheit leisten statt ihn zu befreien.</w:t>
      </w:r>
    </w:p>
    <w:p>
      <w:pPr>
        <w:numPr>
          <w:ilvl w:val="0"/>
          <w:numId w:val="5307890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Verbleibt dem ausscheidenden Gesellschafter eine
Verbindlichkeit aus dem Gesellschaftsverhältnis, so ist er
verpflichtet, einen Ausgleich in entsprechender Höhe an die
Gesellschaft zu zahlen.</w:t>
      </w:r>
    </w:p>
    <w:p>
      <w:pPr>
        <w:widowControl w:val="on"/>
        <w:pBdr/>
        <w:spacing w:before="140" w:after="240" w:line="288" w:lineRule="auto"/>
        <w:ind w:left="0" w:right="0"/>
        <w:jc w:val="left"/>
      </w:pPr>
      <w:r>
        <w:rPr>
          <w:rFonts w:ascii="Arial" w:hAnsi="Arial" w:eastAsia="Arial" w:cs="Arial"/>
          <w:color w:val="000000"/>
          <w:sz w:val="20"/>
          <w:szCs w:val="20"/>
        </w:rPr>
        <w:t xml:space="preserve">Absatz 1 der zitierten Norm zielt auf den Fall, dass der
betreffende Gesellschafter der Gesellschaft ihm gehörende
Gegenstände (zB einen Lieferwagen) zur Benutzung überlassen hat
(quoad usum, vgl 2.9.). Vorgesehen wird die Rückgabe dieser
Gegenstände, wobei der zufällige Untergang bzw die zufällige
Verschlechterung eines Gegenstandes den Gesellschafter trifft.</w:t>
      </w:r>
    </w:p>
    <w:p>
      <w:pPr>
        <w:widowControl w:val="on"/>
        <w:pBdr/>
        <w:spacing w:before="140" w:after="240" w:line="288" w:lineRule="auto"/>
        <w:ind w:left="0" w:right="0"/>
        <w:jc w:val="left"/>
      </w:pPr>
      <w:r>
        <w:rPr>
          <w:rFonts w:ascii="Arial" w:hAnsi="Arial" w:eastAsia="Arial" w:cs="Arial"/>
          <w:color w:val="000000"/>
          <w:sz w:val="20"/>
          <w:szCs w:val="20"/>
        </w:rPr>
        <w:t xml:space="preserve">Absatz 2 bezieht sich auf das Auseinandersetzungsguthaben. Die
Bestimmung legt fest, dass der ausscheidende Gesellschafter einen
Geldbetrag erhalten soll, der den Wert des vom Gesellschafter durch
sein Ausscheiden aufgegebenen Anteils an der Gesellschaft
reflektiert. Das Gesetz stellt dabei auf das hypothetische
Liquidationsergebnis im Falle einer zum Zeitpunkt des Ausscheidens
erfolgenden Auflösung der Gesellschaft ab.</w:t>
      </w:r>
    </w:p>
    <w:p>
      <w:pPr>
        <w:widowControl w:val="on"/>
        <w:pBdr/>
        <w:spacing w:before="140" w:after="240" w:line="288" w:lineRule="auto"/>
        <w:ind w:left="0" w:right="0"/>
        <w:jc w:val="left"/>
      </w:pPr>
      <w:r>
        <w:rPr>
          <w:rFonts w:ascii="Arial" w:hAnsi="Arial" w:eastAsia="Arial" w:cs="Arial"/>
          <w:color w:val="000000"/>
          <w:sz w:val="20"/>
          <w:szCs w:val="20"/>
        </w:rPr>
        <w:t xml:space="preserve">Da die Norm nicht zwingend ist, kann im Gesellschaftsvertrag ein
anderer Modus für die Berechnung des Auseinandersetzungsguthabens
festgelegt werden; eine solche Festlegung ist auch sinnvoll, da der
Wert des lebenden, von den übrigen Gesellschaftern weitergeführten
Unternehmens kaum mit dem Liquidationswert identisch sein dürfte
(im Gesellschaftsvertrag bestimmt werden sollte überdies ein
Zahlungsmodus, der den mit der Leistung des
Auseinandersetzungsguthabens verbundenen Zahlungsmittelabfluss über
einen so langen Zeitraum verteilt, dass die Gesellschaft nicht
infolge eines Liquiditätsengpasses in wirtschaftliche
Schwierigkeiten gerät).</w:t>
      </w:r>
    </w:p>
    <w:p>
      <w:pPr>
        <w:widowControl w:val="on"/>
        <w:pBdr/>
        <w:spacing w:before="140" w:after="240" w:line="288" w:lineRule="auto"/>
        <w:ind w:left="0" w:right="0"/>
        <w:jc w:val="left"/>
      </w:pPr>
      <w:r>
        <w:rPr>
          <w:rFonts w:ascii="Arial" w:hAnsi="Arial" w:eastAsia="Arial" w:cs="Arial"/>
          <w:color w:val="000000"/>
          <w:sz w:val="20"/>
          <w:szCs w:val="20"/>
        </w:rPr>
        <w:t xml:space="preserve">Absatz 3 scheint prima vista in einem Widerspruch zu den
Haftungsbestimmungen der §§ 128, 129 und 160 UGB zu stehen:
Wie soll die Gesellschaft bzw wie sollen die übrigen Gesellschafter
den ausscheidenden Gesellschafter von den Gesellschaftsschulden
befreien, wenn gegenüber den Gesellschaftsgläubigern eine zwingende
persönliche Nachhaftung dieses ausscheidenden Gesellschafters
besteht?</w:t>
      </w:r>
    </w:p>
    <w:p>
      <w:pPr>
        <w:widowControl w:val="on"/>
        <w:pBdr/>
        <w:spacing w:before="140" w:after="240" w:line="288" w:lineRule="auto"/>
        <w:ind w:left="0" w:right="0"/>
        <w:jc w:val="left"/>
      </w:pPr>
      <w:r>
        <w:rPr>
          <w:rFonts w:ascii="Arial" w:hAnsi="Arial" w:eastAsia="Arial" w:cs="Arial"/>
          <w:color w:val="000000"/>
          <w:sz w:val="20"/>
          <w:szCs w:val="20"/>
        </w:rPr>
        <w:t xml:space="preserve">Die hier behandelte Gesetzesbestimmung versteht unter der
„Befreiung“ des ausscheidenden Gesellschafters von
Gesellschaftsverbindlichkeiten, dass die beim Ausscheiden
bestehenden Verbindlichkeiten grundsätzlich von der Gesellschaft
durch Bezahlung zum Erlöschen gebracht werden sollen (dies ergibt
sich aus der Anordnung, dass im Falle von noch nicht fälligen
Verbindlichkeiten Sicherheit zu leisten ist); gleichwertig wäre
wohl auch eine zwischen der Gesellschaft und dem betreffenden
Gläubiger geschlossene Vereinbarung, nach welcher dieser darauf
verzichtet, auf den ausscheidenden Gesellschafter zu greifen.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des Absatzes 4 des § 137 UGB ist festzuhalten,
dass diese Bestimmung gem § 169 UGB auf einen
Kommanditisten – soweit dieser seine bedungene Einlage geleistet
hat – keine Anwendung findet; dadurch wird dem Gedanken Rechnung
getragen, dass ein Kommanditist nicht mehr als den allfälligen
Verlust seiner Einlage hinzunehmen hat.</w:t>
      </w:r>
    </w:p>
    <w:p>
      <w:pPr>
        <w:widowControl w:val="on"/>
        <w:pBdr/>
        <w:spacing w:before="140" w:after="240" w:line="288" w:lineRule="auto"/>
        <w:ind w:left="0" w:right="0"/>
        <w:jc w:val="left"/>
      </w:pPr>
      <w:r>
        <w:rPr>
          <w:rFonts w:ascii="Arial" w:hAnsi="Arial" w:eastAsia="Arial" w:cs="Arial"/>
          <w:color w:val="000000"/>
          <w:sz w:val="20"/>
          <w:szCs w:val="20"/>
        </w:rPr>
        <w:t xml:space="preserve">Ausdrücklich bemerkt sei, dass in einem Gesellschaftsvertrag
auch die Möglichkeit der „Austrittskündigung“ eines Gesellschafters
vereinbart werden kann. In diesem Fall bewirkt die Kündigung nicht,
dass zum Kündigungstermin die Gesellschaft aufgelöst wird, sondern
lediglich, dass der kündigende Gesellschafter zum genannten
Zeitpunkt aus der Gesellschaft ausscheidet. Diese Form der
Kündigung ist dann sinnvoll, wenn einzelne Gesellschafter
„ersetzbar“ sind und ihr Ausscheiden daher die Gesellschaft nicht
in ihren Grundlagen trifft.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7890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686071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66479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88533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46564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93223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06560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640293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51642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33489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20439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33052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375318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20986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195626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77113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897132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65308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29496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30241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26856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86777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53089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533252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10602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597986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06963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901341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13024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02143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65403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00491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04050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58295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187315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55489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55761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04945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69643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26389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01956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850717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6251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093368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853390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525548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989442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46891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86571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36512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052467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66725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20381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13560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334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49084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30141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68983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1030662">
    <w:multiLevelType w:val="hybridMultilevel"/>
    <w:lvl w:ilvl="0">
      <w:start w:val="1"/>
      <w:numFmt w:val="upperRoman"/>
      <w:lvlText w:val="%1."/>
      <w:lvlJc w:val="left"/>
      <w:pPr>
        <w:ind w:left="720" w:hanging="360"/>
      </w:pPr>
      <w:rPr/>
    </w:lvl>
    <w:lvl w:ilvl="1">
      <w:start w:val=""/>
      <w:numFmt w:val="upperRoman"/>
      <w:lvlText w:val="%2."/>
      <w:lvlJc w:val="left"/>
      <w:pPr>
        <w:ind w:left="1440" w:hanging="360"/>
      </w:pPr>
      <w:rPr/>
    </w:lvl>
    <w:lvl w:ilvl="2">
      <w:start w:val=""/>
      <w:numFmt w:val="upperRoman"/>
      <w:lvlText w:val="%3."/>
      <w:lvlJc w:val="left"/>
      <w:pPr>
        <w:ind w:left="2160" w:hanging="360"/>
      </w:pPr>
      <w:rPr/>
    </w:lvl>
    <w:lvl w:ilvl="3">
      <w:start w:val=""/>
      <w:numFmt w:val="upperRoman"/>
      <w:lvlText w:val="%4."/>
      <w:lvlJc w:val="left"/>
      <w:pPr>
        <w:ind w:left="2880" w:hanging="360"/>
      </w:pPr>
      <w:rPr/>
    </w:lvl>
    <w:lvl w:ilvl="4">
      <w:start w:val=""/>
      <w:numFmt w:val="upperRoman"/>
      <w:lvlText w:val="%5."/>
      <w:lvlJc w:val="left"/>
      <w:pPr>
        <w:ind w:left="3600" w:hanging="360"/>
      </w:pPr>
      <w:rPr/>
    </w:lvl>
    <w:lvl w:ilvl="5">
      <w:start w:val=""/>
      <w:numFmt w:val="upperRoman"/>
      <w:lvlText w:val="%6."/>
      <w:lvlJc w:val="left"/>
      <w:pPr>
        <w:ind w:left="4320" w:hanging="360"/>
      </w:pPr>
      <w:rPr/>
    </w:lvl>
    <w:lvl w:ilvl="6">
      <w:start w:val=""/>
      <w:numFmt w:val="upperRoman"/>
      <w:lvlText w:val="%7."/>
      <w:lvlJc w:val="left"/>
      <w:pPr>
        <w:ind w:left="5040" w:hanging="360"/>
      </w:pPr>
      <w:rPr/>
    </w:lvl>
    <w:lvl w:ilvl="7">
      <w:start w:val=""/>
      <w:numFmt w:val="upperRoman"/>
      <w:lvlText w:val="%8."/>
      <w:lvlJc w:val="left"/>
      <w:pPr>
        <w:ind w:left="5760" w:hanging="360"/>
      </w:pPr>
      <w:rPr/>
    </w:lvl>
    <w:lvl w:ilvl="8">
      <w:start w:val=""/>
      <w:numFmt w:val="upperRoman"/>
      <w:lvlText w:val="%9."/>
      <w:lvlJc w:val="left"/>
      <w:pPr>
        <w:ind w:left="6480" w:hanging="360"/>
      </w:pPr>
      <w:rPr/>
    </w:lvl>
  </w:abstractNum>
  <w:abstractNum w:abstractNumId="94608105">
    <w:multiLevelType w:val="hybridMultilevel"/>
    <w:lvl w:ilvl="0" w:tplc="19258813">
      <w:start w:val="1"/>
      <w:numFmt w:val="decimal"/>
      <w:lvlText w:val="%1."/>
      <w:lvlJc w:val="left"/>
      <w:pPr>
        <w:ind w:left="720" w:hanging="360"/>
      </w:pPr>
    </w:lvl>
    <w:lvl w:ilvl="1" w:tplc="19258813" w:tentative="1">
      <w:start w:val="1"/>
      <w:numFmt w:val="lowerLetter"/>
      <w:lvlText w:val="%2."/>
      <w:lvlJc w:val="left"/>
      <w:pPr>
        <w:ind w:left="1440" w:hanging="360"/>
      </w:pPr>
    </w:lvl>
    <w:lvl w:ilvl="2" w:tplc="19258813" w:tentative="1">
      <w:start w:val="1"/>
      <w:numFmt w:val="lowerRoman"/>
      <w:lvlText w:val="%3."/>
      <w:lvlJc w:val="right"/>
      <w:pPr>
        <w:ind w:left="2160" w:hanging="180"/>
      </w:pPr>
    </w:lvl>
    <w:lvl w:ilvl="3" w:tplc="19258813" w:tentative="1">
      <w:start w:val="1"/>
      <w:numFmt w:val="decimal"/>
      <w:lvlText w:val="%4."/>
      <w:lvlJc w:val="left"/>
      <w:pPr>
        <w:ind w:left="2880" w:hanging="360"/>
      </w:pPr>
    </w:lvl>
    <w:lvl w:ilvl="4" w:tplc="19258813" w:tentative="1">
      <w:start w:val="1"/>
      <w:numFmt w:val="lowerLetter"/>
      <w:lvlText w:val="%5."/>
      <w:lvlJc w:val="left"/>
      <w:pPr>
        <w:ind w:left="3600" w:hanging="360"/>
      </w:pPr>
    </w:lvl>
    <w:lvl w:ilvl="5" w:tplc="19258813" w:tentative="1">
      <w:start w:val="1"/>
      <w:numFmt w:val="lowerRoman"/>
      <w:lvlText w:val="%6."/>
      <w:lvlJc w:val="right"/>
      <w:pPr>
        <w:ind w:left="4320" w:hanging="180"/>
      </w:pPr>
    </w:lvl>
    <w:lvl w:ilvl="6" w:tplc="19258813" w:tentative="1">
      <w:start w:val="1"/>
      <w:numFmt w:val="decimal"/>
      <w:lvlText w:val="%7."/>
      <w:lvlJc w:val="left"/>
      <w:pPr>
        <w:ind w:left="5040" w:hanging="360"/>
      </w:pPr>
    </w:lvl>
    <w:lvl w:ilvl="7" w:tplc="19258813" w:tentative="1">
      <w:start w:val="1"/>
      <w:numFmt w:val="lowerLetter"/>
      <w:lvlText w:val="%8."/>
      <w:lvlJc w:val="left"/>
      <w:pPr>
        <w:ind w:left="5760" w:hanging="360"/>
      </w:pPr>
    </w:lvl>
    <w:lvl w:ilvl="8" w:tplc="19258813" w:tentative="1">
      <w:start w:val="1"/>
      <w:numFmt w:val="lowerRoman"/>
      <w:lvlText w:val="%9."/>
      <w:lvlJc w:val="right"/>
      <w:pPr>
        <w:ind w:left="6480" w:hanging="180"/>
      </w:pPr>
    </w:lvl>
  </w:abstractNum>
  <w:abstractNum w:abstractNumId="61836553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08931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3298815">
    <w:multiLevelType w:val="hybridMultilevel"/>
    <w:lvl w:ilvl="0">
      <w:start w:val="1"/>
      <w:numFmt w:val="upperRoman"/>
      <w:lvlText w:val="%1."/>
      <w:lvlJc w:val="left"/>
      <w:pPr>
        <w:ind w:left="720" w:hanging="360"/>
      </w:pPr>
      <w:rPr/>
    </w:lvl>
    <w:lvl w:ilvl="1">
      <w:start w:val=""/>
      <w:numFmt w:val="upperRoman"/>
      <w:lvlText w:val="%2."/>
      <w:lvlJc w:val="left"/>
      <w:pPr>
        <w:ind w:left="1440" w:hanging="360"/>
      </w:pPr>
      <w:rPr/>
    </w:lvl>
    <w:lvl w:ilvl="2">
      <w:start w:val=""/>
      <w:numFmt w:val="upperRoman"/>
      <w:lvlText w:val="%3."/>
      <w:lvlJc w:val="left"/>
      <w:pPr>
        <w:ind w:left="2160" w:hanging="360"/>
      </w:pPr>
      <w:rPr/>
    </w:lvl>
    <w:lvl w:ilvl="3">
      <w:start w:val=""/>
      <w:numFmt w:val="upperRoman"/>
      <w:lvlText w:val="%4."/>
      <w:lvlJc w:val="left"/>
      <w:pPr>
        <w:ind w:left="2880" w:hanging="360"/>
      </w:pPr>
      <w:rPr/>
    </w:lvl>
    <w:lvl w:ilvl="4">
      <w:start w:val=""/>
      <w:numFmt w:val="upperRoman"/>
      <w:lvlText w:val="%5."/>
      <w:lvlJc w:val="left"/>
      <w:pPr>
        <w:ind w:left="3600" w:hanging="360"/>
      </w:pPr>
      <w:rPr/>
    </w:lvl>
    <w:lvl w:ilvl="5">
      <w:start w:val=""/>
      <w:numFmt w:val="upperRoman"/>
      <w:lvlText w:val="%6."/>
      <w:lvlJc w:val="left"/>
      <w:pPr>
        <w:ind w:left="4320" w:hanging="360"/>
      </w:pPr>
      <w:rPr/>
    </w:lvl>
    <w:lvl w:ilvl="6">
      <w:start w:val=""/>
      <w:numFmt w:val="upperRoman"/>
      <w:lvlText w:val="%7."/>
      <w:lvlJc w:val="left"/>
      <w:pPr>
        <w:ind w:left="5040" w:hanging="360"/>
      </w:pPr>
      <w:rPr/>
    </w:lvl>
    <w:lvl w:ilvl="7">
      <w:start w:val=""/>
      <w:numFmt w:val="upperRoman"/>
      <w:lvlText w:val="%8."/>
      <w:lvlJc w:val="left"/>
      <w:pPr>
        <w:ind w:left="5760" w:hanging="360"/>
      </w:pPr>
      <w:rPr/>
    </w:lvl>
    <w:lvl w:ilvl="8">
      <w:start w:val=""/>
      <w:numFmt w:val="upperRoman"/>
      <w:lvlText w:val="%9."/>
      <w:lvlJc w:val="left"/>
      <w:pPr>
        <w:ind w:left="6480" w:hanging="360"/>
      </w:pPr>
      <w:rPr/>
    </w:lvl>
  </w:abstractNum>
  <w:abstractNum w:abstractNumId="94608104">
    <w:multiLevelType w:val="hybridMultilevel"/>
    <w:lvl w:ilvl="0" w:tplc="45097329">
      <w:start w:val="1"/>
      <w:numFmt w:val="decimal"/>
      <w:lvlText w:val="%1."/>
      <w:lvlJc w:val="left"/>
      <w:pPr>
        <w:ind w:left="720" w:hanging="360"/>
      </w:pPr>
    </w:lvl>
    <w:lvl w:ilvl="1" w:tplc="45097329" w:tentative="1">
      <w:start w:val="1"/>
      <w:numFmt w:val="lowerLetter"/>
      <w:lvlText w:val="%2."/>
      <w:lvlJc w:val="left"/>
      <w:pPr>
        <w:ind w:left="1440" w:hanging="360"/>
      </w:pPr>
    </w:lvl>
    <w:lvl w:ilvl="2" w:tplc="45097329" w:tentative="1">
      <w:start w:val="1"/>
      <w:numFmt w:val="lowerRoman"/>
      <w:lvlText w:val="%3."/>
      <w:lvlJc w:val="right"/>
      <w:pPr>
        <w:ind w:left="2160" w:hanging="180"/>
      </w:pPr>
    </w:lvl>
    <w:lvl w:ilvl="3" w:tplc="45097329" w:tentative="1">
      <w:start w:val="1"/>
      <w:numFmt w:val="decimal"/>
      <w:lvlText w:val="%4."/>
      <w:lvlJc w:val="left"/>
      <w:pPr>
        <w:ind w:left="2880" w:hanging="360"/>
      </w:pPr>
    </w:lvl>
    <w:lvl w:ilvl="4" w:tplc="45097329" w:tentative="1">
      <w:start w:val="1"/>
      <w:numFmt w:val="lowerLetter"/>
      <w:lvlText w:val="%5."/>
      <w:lvlJc w:val="left"/>
      <w:pPr>
        <w:ind w:left="3600" w:hanging="360"/>
      </w:pPr>
    </w:lvl>
    <w:lvl w:ilvl="5" w:tplc="45097329" w:tentative="1">
      <w:start w:val="1"/>
      <w:numFmt w:val="lowerRoman"/>
      <w:lvlText w:val="%6."/>
      <w:lvlJc w:val="right"/>
      <w:pPr>
        <w:ind w:left="4320" w:hanging="180"/>
      </w:pPr>
    </w:lvl>
    <w:lvl w:ilvl="6" w:tplc="45097329" w:tentative="1">
      <w:start w:val="1"/>
      <w:numFmt w:val="decimal"/>
      <w:lvlText w:val="%7."/>
      <w:lvlJc w:val="left"/>
      <w:pPr>
        <w:ind w:left="5040" w:hanging="360"/>
      </w:pPr>
    </w:lvl>
    <w:lvl w:ilvl="7" w:tplc="45097329" w:tentative="1">
      <w:start w:val="1"/>
      <w:numFmt w:val="lowerLetter"/>
      <w:lvlText w:val="%8."/>
      <w:lvlJc w:val="left"/>
      <w:pPr>
        <w:ind w:left="5760" w:hanging="360"/>
      </w:pPr>
    </w:lvl>
    <w:lvl w:ilvl="8" w:tplc="45097329" w:tentative="1">
      <w:start w:val="1"/>
      <w:numFmt w:val="lowerRoman"/>
      <w:lvlText w:val="%9."/>
      <w:lvlJc w:val="right"/>
      <w:pPr>
        <w:ind w:left="6480" w:hanging="180"/>
      </w:pPr>
    </w:lvl>
  </w:abstractNum>
  <w:abstractNum w:abstractNumId="94608103">
    <w:multiLevelType w:val="hybridMultilevel"/>
    <w:lvl w:ilvl="0" w:tplc="56251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08103">
    <w:abstractNumId w:val="94608103"/>
  </w:num>
  <w:num w:numId="94608104">
    <w:abstractNumId w:val="94608104"/>
  </w:num>
  <w:num w:numId="813298815">
    <w:abstractNumId w:val="813298815"/>
  </w:num>
  <w:num w:numId="670893176">
    <w:abstractNumId w:val="670893176"/>
  </w:num>
  <w:num w:numId="618365534">
    <w:abstractNumId w:val="618365534"/>
  </w:num>
  <w:num w:numId="94608105">
    <w:abstractNumId w:val="94608105"/>
  </w:num>
  <w:num w:numId="611030662">
    <w:abstractNumId w:val="611030662"/>
  </w:num>
  <w:num w:numId="636898324">
    <w:abstractNumId w:val="636898324"/>
  </w:num>
  <w:num w:numId="693014111">
    <w:abstractNumId w:val="693014111"/>
  </w:num>
  <w:num w:numId="694908413">
    <w:abstractNumId w:val="694908413"/>
  </w:num>
  <w:num w:numId="8533447">
    <w:abstractNumId w:val="8533447"/>
  </w:num>
  <w:num w:numId="191356071">
    <w:abstractNumId w:val="191356071"/>
  </w:num>
  <w:num w:numId="222038158">
    <w:abstractNumId w:val="222038158"/>
  </w:num>
  <w:num w:numId="436672520">
    <w:abstractNumId w:val="436672520"/>
  </w:num>
  <w:num w:numId="710524678">
    <w:abstractNumId w:val="710524678"/>
  </w:num>
  <w:num w:numId="443651261">
    <w:abstractNumId w:val="443651261"/>
  </w:num>
  <w:num w:numId="578657149">
    <w:abstractNumId w:val="578657149"/>
  </w:num>
  <w:num w:numId="324689145">
    <w:abstractNumId w:val="324689145"/>
  </w:num>
  <w:num w:numId="798944258">
    <w:abstractNumId w:val="798944258"/>
  </w:num>
  <w:num w:numId="855255488">
    <w:abstractNumId w:val="855255488"/>
  </w:num>
  <w:num w:numId="438533901">
    <w:abstractNumId w:val="438533901"/>
  </w:num>
  <w:num w:numId="220933682">
    <w:abstractNumId w:val="220933682"/>
  </w:num>
  <w:num w:numId="87625193">
    <w:abstractNumId w:val="87625193"/>
  </w:num>
  <w:num w:numId="448507172">
    <w:abstractNumId w:val="448507172"/>
  </w:num>
  <w:num w:numId="650195675">
    <w:abstractNumId w:val="650195675"/>
  </w:num>
  <w:num w:numId="842638968">
    <w:abstractNumId w:val="842638968"/>
  </w:num>
  <w:num w:numId="916964319">
    <w:abstractNumId w:val="916964319"/>
  </w:num>
  <w:num w:numId="870494554">
    <w:abstractNumId w:val="870494554"/>
  </w:num>
  <w:num w:numId="305576196">
    <w:abstractNumId w:val="305576196"/>
  </w:num>
  <w:num w:numId="305548906">
    <w:abstractNumId w:val="305548906"/>
  </w:num>
  <w:num w:numId="311873159">
    <w:abstractNumId w:val="311873159"/>
  </w:num>
  <w:num w:numId="425829520">
    <w:abstractNumId w:val="425829520"/>
  </w:num>
  <w:num w:numId="310405027">
    <w:abstractNumId w:val="310405027"/>
  </w:num>
  <w:num w:numId="270049109">
    <w:abstractNumId w:val="270049109"/>
  </w:num>
  <w:num w:numId="436540368">
    <w:abstractNumId w:val="436540368"/>
  </w:num>
  <w:num w:numId="640214306">
    <w:abstractNumId w:val="640214306"/>
  </w:num>
  <w:num w:numId="181302451">
    <w:abstractNumId w:val="181302451"/>
  </w:num>
  <w:num w:numId="209013418">
    <w:abstractNumId w:val="209013418"/>
  </w:num>
  <w:num w:numId="150696398">
    <w:abstractNumId w:val="150696398"/>
  </w:num>
  <w:num w:numId="575979860">
    <w:abstractNumId w:val="575979860"/>
  </w:num>
  <w:num w:numId="731060279">
    <w:abstractNumId w:val="731060279"/>
  </w:num>
  <w:num w:numId="835332525">
    <w:abstractNumId w:val="835332525"/>
  </w:num>
  <w:num w:numId="695308923">
    <w:abstractNumId w:val="695308923"/>
  </w:num>
  <w:num w:numId="648677715">
    <w:abstractNumId w:val="648677715"/>
  </w:num>
  <w:num w:numId="582685645">
    <w:abstractNumId w:val="582685645"/>
  </w:num>
  <w:num w:numId="113024124">
    <w:abstractNumId w:val="113024124"/>
  </w:num>
  <w:num w:numId="542949615">
    <w:abstractNumId w:val="542949615"/>
  </w:num>
  <w:num w:numId="296530839">
    <w:abstractNumId w:val="296530839"/>
  </w:num>
  <w:num w:numId="908971321">
    <w:abstractNumId w:val="908971321"/>
  </w:num>
  <w:num w:numId="587711392">
    <w:abstractNumId w:val="587711392"/>
  </w:num>
  <w:num w:numId="591956260">
    <w:abstractNumId w:val="591956260"/>
  </w:num>
  <w:num w:numId="722098678">
    <w:abstractNumId w:val="722098678"/>
  </w:num>
  <w:num w:numId="933753183">
    <w:abstractNumId w:val="933753183"/>
  </w:num>
  <w:num w:numId="973305261">
    <w:abstractNumId w:val="973305261"/>
  </w:num>
  <w:num w:numId="112043987">
    <w:abstractNumId w:val="112043987"/>
  </w:num>
  <w:num w:numId="823348986">
    <w:abstractNumId w:val="823348986"/>
  </w:num>
  <w:num w:numId="785164279">
    <w:abstractNumId w:val="785164279"/>
  </w:num>
  <w:num w:numId="764029395">
    <w:abstractNumId w:val="764029395"/>
  </w:num>
  <w:num w:numId="960656053">
    <w:abstractNumId w:val="960656053"/>
  </w:num>
  <w:num w:numId="129322333">
    <w:abstractNumId w:val="129322333"/>
  </w:num>
  <w:num w:numId="594656463">
    <w:abstractNumId w:val="594656463"/>
  </w:num>
  <w:num w:numId="198853366">
    <w:abstractNumId w:val="198853366"/>
  </w:num>
  <w:num w:numId="216647944">
    <w:abstractNumId w:val="216647944"/>
  </w:num>
  <w:num w:numId="966860719">
    <w:abstractNumId w:val="966860719"/>
  </w:num>
  <w:num w:numId="530789082">
    <w:abstractNumId w:val="530789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49548152" Type="http://schemas.openxmlformats.org/officeDocument/2006/relationships/numbering" Target="numbering.xml"/><Relationship Id="rId81728975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