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5365093" w:name="document"/>
    <w:bookmarkEnd w:id="35365093"/>
    <w:p/>
    <w:p>
      <w:pPr>
        <w:widowControl w:val="on"/>
        <w:pBdr/>
        <w:spacing w:before="0" w:after="280" w:line="240" w:lineRule="auto"/>
        <w:ind w:left="0" w:right="0"/>
        <w:jc w:val="left"/>
      </w:pPr>
      <w:r>
        <w:rPr>
          <w:rFonts w:ascii="Arial" w:hAnsi="Arial" w:eastAsia="Arial" w:cs="Arial"/>
          <w:color w:val="363A40"/>
          <w:sz w:val="24"/>
          <w:szCs w:val="24"/>
        </w:rPr>
        <w:t xml:space="preserve">Dokument-ID: 716545 | Georg Prchlik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Vertrag einer unternehmerisch tätigen GesbR (in Anlehnung an
dispositives Recht idF durch das GesbR-Reformgesetz)</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Gesellschaftsvertrag der
„Mausefalle“ Nachtklub-Betriebs-GesbR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Inhaltsverzeichnis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Präambel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Parteien des Vertrages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Erklärung der Vergesellschaftung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Bezeichnung (Name)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Sitz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Gegenstand des Unternehmens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Dauer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Vermögen der Gesellschaft/Kapitaleinlagen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IX.</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Geschäftsführung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Kontrollrechte der Gesellschafter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Verteilung von Gewinn und Verlust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Haftung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Konkurrenzverbot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Sonstiges</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Präambel</w:t>
      </w:r>
      <w:bookmarkStart w:id="59680677" w:name="link2"/>
      <w:bookmarkEnd w:id="59680677"/>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alle Parteien des vorliegenden Vertrages
jeweils Inhaber einer Gewerbeberechtigung für das reglementierte
Gewerbe „Gastgewerbe“ iSd § 94 Z 26 der Gewerbeordnung
sind und jeweils ein renommiertes Gastronomieunternehmen in der
Stadt Wien betreiben.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beabsichtigen, eine gemeinsame Tätigkeit durch den
Betrieb eines Nachtklubs zu entfalten, wobei diese Tätigkeit im
Rahmen einer Gesellschaft bürgerlichen Rechts ausgeübt werden soll,
deren rechtlicher Rahmen hiermit in diesem Vertrag festgehalten
wird.</w:t>
      </w:r>
    </w:p>
    <w:p>
      <w:pPr>
        <w:widowControl w:val="on"/>
        <w:pBdr/>
        <w:spacing w:before="140" w:after="240" w:line="288" w:lineRule="auto"/>
        <w:ind w:left="0" w:right="0"/>
        <w:jc w:val="left"/>
      </w:pPr>
      <w:r>
        <w:rPr>
          <w:rFonts w:ascii="Arial" w:hAnsi="Arial" w:eastAsia="Arial" w:cs="Arial"/>
          <w:color w:val="000000"/>
          <w:sz w:val="20"/>
          <w:szCs w:val="20"/>
        </w:rPr>
        <w:t xml:space="preserve">Die Unterzeichnenden sind überzeugt von der Kraft der
Zusammenarbeit und dem gemeinsamen Streben nach unternehmerischem
Erfolg. In Anerkennung der gemeinsamen Ziele und unserer
gegenseitigen Verantwortung füreinander und für die Gesellschaft
entscheiden wir uns zur Gründung einer Gesellschaft bürgerlichen
Rechts (GesbR) gemäß den Bestimmungen des österreichischen
Rechts.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Parteien des Vertrages</w:t>
      </w:r>
      <w:bookmarkStart w:id="7729899" w:name="link3"/>
      <w:bookmarkEnd w:id="7729899"/>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Parteien des vorliegenden Vertrages (Gesellschafter der
vertragsgegenständlichen Gesellschaft bürgerlichen Rechts) sind</w:t>
      </w:r>
    </w:p>
    <w:p>
      <w:pPr>
        <w:numPr>
          <w:ilvl w:val="0"/>
          <w:numId w:val="4652017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Kochlöffel, Restaurantstraße 42, A-1020
Wien,</w:t>
      </w:r>
    </w:p>
    <w:p>
      <w:pPr>
        <w:numPr>
          <w:ilvl w:val="0"/>
          <w:numId w:val="4652017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Berthold Bratpfanne, Heurigengasse 25, A-1180 Wien
sowie</w:t>
      </w:r>
    </w:p>
    <w:p>
      <w:pPr>
        <w:numPr>
          <w:ilvl w:val="0"/>
          <w:numId w:val="4652017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Sebastian Sektflöte, Champagnerweg 12, A-1010 Wien.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Erklärung der Vergesellschaftung</w:t>
      </w:r>
      <w:bookmarkStart w:id="27594983" w:name="link4"/>
      <w:bookmarkEnd w:id="27594983"/>
      <w:hyperlink w:anchor="note4" w:history="1">
        <w:r>
          <w:rPr>
            <w:rFonts w:ascii="Arial" w:hAnsi="Arial" w:eastAsia="Arial" w:cs="Arial"/>
            <w:b/>
            <w:bCs/>
            <w:color w:val="006BB6"/>
            <w:position w:val="6"/>
            <w:sz w:val="31"/>
            <w:szCs w:val="31"/>
            <w:vertAlign w:val="superscript"/>
          </w:rPr>
          <w:t xml:space="preserve">4</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Parteien des vorliegenden Vertrages erklären, durch
Abschluss dieses Vertrages eine Gesellschaft bürgerlichen Rechts
iSd §§ 1175 ff Allgemeines bürgerliches Gesetzbuch (ABGB), im
Folgenden: „Gesellschaft“, zu gründen.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Bezeichnung (Name der Gesellschaft)</w:t>
      </w:r>
      <w:bookmarkStart w:id="23987335" w:name="link5"/>
      <w:bookmarkEnd w:id="23987335"/>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ist als Außengesellschaft konzipiert und tritt
unter der Bezeichnung (dem Namen) „Mausefalle
Nachtklub-Betriebs-GesbR“ auf. Die Gesellschaft soll Dritten
gegenüber unmittelbar auftreten.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Sitz
der Gesellschaft</w:t>
      </w:r>
      <w:bookmarkStart w:id="41206400" w:name="link6"/>
      <w:bookmarkEnd w:id="41206400"/>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hat ihren Sitz in A-1020 Wien, Restaurantstraße
42.</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Gegenstand des Unternehmens</w:t>
      </w:r>
      <w:bookmarkStart w:id="47134591" w:name="link7"/>
      <w:bookmarkEnd w:id="47134591"/>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Zum Gegenstand des Unternehmens gehören</w:t>
      </w:r>
    </w:p>
    <w:p>
      <w:pPr>
        <w:numPr>
          <w:ilvl w:val="0"/>
          <w:numId w:val="9394298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Betrieb eines Gastronomie-Etablissements in der Form eines
Nachtklubs sowie</w:t>
      </w:r>
    </w:p>
    <w:p>
      <w:pPr>
        <w:numPr>
          <w:ilvl w:val="0"/>
          <w:numId w:val="9394298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mit diesem Betrieb verbundenen Tätigkeiten (wie
insbesondere Marketingmaßnahmen).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Dauer der Gesellschaft</w:t>
      </w:r>
      <w:bookmarkStart w:id="40162277" w:name="link8"/>
      <w:bookmarkEnd w:id="40162277"/>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 sie kann
von jedem Gesellschafter entsprechend den gesetzlichen Bestimmungen
gekündigt werden.</w:t>
      </w:r>
    </w:p>
    <w:p>
      <w:pPr>
        <w:widowControl w:val="on"/>
        <w:pBdr/>
        <w:spacing w:before="140" w:after="240" w:line="288" w:lineRule="auto"/>
        <w:ind w:left="0" w:right="0"/>
        <w:jc w:val="left"/>
      </w:pPr>
      <w:r>
        <w:rPr>
          <w:rFonts w:ascii="Arial" w:hAnsi="Arial" w:eastAsia="Arial" w:cs="Arial"/>
          <w:color w:val="000000"/>
          <w:sz w:val="20"/>
          <w:szCs w:val="20"/>
        </w:rPr>
        <w:t xml:space="preserve">Die Kündigung durch einen Gesellschafter hat die Auflösung der
Gesellschaft zur Folge.</w:t>
      </w:r>
    </w:p>
    <w:p>
      <w:pPr>
        <w:widowControl w:val="on"/>
        <w:pBdr/>
        <w:spacing w:before="140" w:after="240" w:line="288" w:lineRule="auto"/>
        <w:ind w:left="0" w:right="0"/>
        <w:jc w:val="left"/>
      </w:pPr>
      <w:r>
        <w:rPr>
          <w:rFonts w:ascii="Arial" w:hAnsi="Arial" w:eastAsia="Arial" w:cs="Arial"/>
          <w:color w:val="000000"/>
          <w:sz w:val="20"/>
          <w:szCs w:val="20"/>
        </w:rPr>
        <w:t xml:space="preserve">Textvarianten (die Unterschiede im Regelungsinhalt werden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entsprechend den gesetzlichen Bestimmungen
gekündigt werden. Eine Kündigung darf jedoch nicht zur Unzeit
erfolgen.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das Ausscheiden
dieses Gesellschafters aus der Gesellschaft zur Folge; die
Gesellschaft wird unter den übrigen Gesellschaftern
fortgesetzt.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unter Einhaltung einer Frist von vier
Monaten jeweils zum 30.06. und zum 31.12. eines Kalenderjahres
gekündigt werden.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das Ausscheiden
dieses Gesellschafters aus der Gesellschaft zur Folge; die
Gesellschaft wird unter den übrigen Gesellschaftern
fortgesetzt.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unter Einhaltung einer Frist von vier
Monaten jeweils zum 30.06. und zum 31.12. eines Kalenderjahres
gekündigt werden.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die Auflösung der
Gesellschaft zur Folge.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Vermögen der Gesellschaft/Kapitaleinlagen</w:t>
      </w:r>
      <w:bookmarkStart w:id="11513147" w:name="link9"/>
      <w:bookmarkEnd w:id="11513147"/>
      <w:hyperlink w:anchor="note9" w:history="1">
        <w:r>
          <w:rPr>
            <w:rFonts w:ascii="Arial" w:hAnsi="Arial" w:eastAsia="Arial" w:cs="Arial"/>
            <w:b/>
            <w:bCs/>
            <w:color w:val="006BB6"/>
            <w:position w:val="6"/>
            <w:sz w:val="31"/>
            <w:szCs w:val="31"/>
            <w:vertAlign w:val="superscript"/>
          </w:rPr>
          <w:t xml:space="preserve">9</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Parteien vereinbaren die Bildung eines
Gesellschaftsvermögens iSd § 1178 Abs 1 ABGB. Zur Bildung
des Gesellschaftsvermögens leisten die Gesellschafter die
nachstehenden Einlagen:</w:t>
      </w:r>
    </w:p>
    <w:p>
      <w:pPr>
        <w:numPr>
          <w:ilvl w:val="0"/>
          <w:numId w:val="3623758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Kochlöffel: EUR 30.000,– (dreißigtausend
Euro)</w:t>
      </w:r>
    </w:p>
    <w:p>
      <w:pPr>
        <w:numPr>
          <w:ilvl w:val="0"/>
          <w:numId w:val="3623758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Berthold Bratpfanne: EUR 20.000,– (zwanzigtausend
Euro)</w:t>
      </w:r>
    </w:p>
    <w:p>
      <w:pPr>
        <w:numPr>
          <w:ilvl w:val="0"/>
          <w:numId w:val="3623758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Sebastian Sektflöte: EUR 25.000,–
(fünfundzwanzigtausend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Die Einzahlung der Geldbeträge hat auf das Konto … zu
erfolgen.</w:t>
      </w:r>
    </w:p>
    <w:p>
      <w:pPr>
        <w:widowControl w:val="on"/>
        <w:pBdr/>
        <w:spacing w:before="140" w:after="240" w:line="288" w:lineRule="auto"/>
        <w:ind w:left="0" w:right="0"/>
        <w:jc w:val="left"/>
      </w:pPr>
      <w:r>
        <w:rPr>
          <w:rFonts w:ascii="Arial" w:hAnsi="Arial" w:eastAsia="Arial" w:cs="Arial"/>
          <w:color w:val="000000"/>
          <w:sz w:val="20"/>
          <w:szCs w:val="20"/>
        </w:rPr>
        <w:t xml:space="preserve">Die Leistung der Einlagen ist bis zum … (einlangend)
vorzunehmen.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wird festgehalten, dass alle Gesellschafter
verpflichtet sind, zum gemeinsamen Nutzen zusammenzuwirken,
insbesondere entsprechend ihren Möglichkeiten an den durch den
Zweck der Gesellschaft und durch den Gegenstand des Unternehmens
umrissenen Tätigkeiten teilzunehmen.</w:t>
      </w:r>
    </w:p>
    <w:p>
      <w:pPr>
        <w:widowControl w:val="on"/>
        <w:pBdr/>
        <w:spacing w:before="140" w:after="240" w:line="288" w:lineRule="auto"/>
        <w:ind w:left="0" w:right="0"/>
        <w:jc w:val="left"/>
      </w:pPr>
      <w:r>
        <w:rPr>
          <w:rFonts w:ascii="Arial" w:hAnsi="Arial" w:eastAsia="Arial" w:cs="Arial"/>
          <w:color w:val="000000"/>
          <w:sz w:val="20"/>
          <w:szCs w:val="20"/>
        </w:rPr>
        <w:t xml:space="preserve">Textvariante (der Unterschied im Regelungsinhalt wird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Die Parteien vereinbaren die Bildung eines
Gesellschaftsvermögens iSd § 1178 Abs 1 ABGB; die
Gesellschafter tragen zu diesem Hauptstamm wie folgt bei:</w:t>
      </w:r>
    </w:p>
    <w:p>
      <w:pPr>
        <w:numPr>
          <w:ilvl w:val="0"/>
          <w:numId w:val="10904391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Kunibert Kochlöffel erbringt Arbeitsleistungen, die als
Kapitalanteil iSd § 1182 Abs 3 ABGB entsprechend einem
Wert von EUR 30.000,– (dreißigtausend Euro) behandelt
werden.</w:t>
      </w:r>
    </w:p>
    <w:p>
      <w:pPr>
        <w:numPr>
          <w:ilvl w:val="0"/>
          <w:numId w:val="10904391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Berthold Bratpfanne erbringt Arbeitsleistungen, die als
Kapitalanteil iSd § 1182 Abs 3 ABGB entsprechend einem
Wert von EUR 20.000,– (zwanzigtausend Euro) behandelt
werden.</w:t>
      </w:r>
    </w:p>
    <w:p>
      <w:pPr>
        <w:numPr>
          <w:ilvl w:val="0"/>
          <w:numId w:val="10904391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Sebastian Sektflöte erbringt Arbeitsleistungen, die als
Kapitalanteil iSd § 1182 Abs 3 ABGB entsprechend einem
Wert von EUR 25.000,– (fünfundzwanzigtausend Euro) behandelt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Geschäftsführung</w:t>
      </w:r>
      <w:bookmarkStart w:id="9613390" w:name="link10"/>
      <w:bookmarkEnd w:id="9613390"/>
      <w:hyperlink w:anchor="note10" w:history="1">
        <w:r>
          <w:rPr>
            <w:rFonts w:ascii="Arial" w:hAnsi="Arial" w:eastAsia="Arial" w:cs="Arial"/>
            <w:b/>
            <w:bCs/>
            <w:color w:val="006BB6"/>
            <w:position w:val="6"/>
            <w:sz w:val="31"/>
            <w:szCs w:val="31"/>
            <w:vertAlign w:val="superscript"/>
          </w:rPr>
          <w:t xml:space="preserve">10</w:t>
        </w:r>
      </w:hyperlink>
    </w:p>
    <w:p>
      <w:pPr>
        <w:widowControl w:val="on"/>
        <w:pBdr/>
        <w:spacing w:before="140" w:after="240" w:line="288" w:lineRule="auto"/>
        <w:ind w:left="0" w:right="0"/>
        <w:jc w:val="left"/>
      </w:pPr>
      <w:r>
        <w:rPr>
          <w:rFonts w:ascii="Arial" w:hAnsi="Arial" w:eastAsia="Arial" w:cs="Arial"/>
          <w:color w:val="000000"/>
          <w:sz w:val="20"/>
          <w:szCs w:val="20"/>
        </w:rPr>
        <w:t xml:space="preserve">Hinsichtlich der Führung der Geschäfte der Gesellschaft wird
unterschieden zwischen</w:t>
      </w:r>
    </w:p>
    <w:p>
      <w:pPr>
        <w:numPr>
          <w:ilvl w:val="0"/>
          <w:numId w:val="4702358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Geschäftsführung in gewöhnlichen Angelegenheiten (der
ordentlichen Geschäftsführung) sowie</w:t>
      </w:r>
    </w:p>
    <w:p>
      <w:pPr>
        <w:numPr>
          <w:ilvl w:val="0"/>
          <w:numId w:val="4702358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Geschäftsführung in außergewöhnlichen Angelegenheiten (der
außerordentlichen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wobei zur außerordentlichen Geschäftsführung jedenfalls die
Aufnahme eines Darlehens im Betrag von mehr als EUR 100.000,–
(einhunderttausend Euro), die Kreditierung eines vom Kunden zu
entrichtenden Kaufpreises im Betrag von mehr als EUR 20.000,–
(zwanzigtausend Euro) gehören, sowie die Belastung und Veräußerung
von ggf vorhandenen Liegenschaften.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ordentlichen Geschäftsführung ist jeder
Gesellschafter zur selbstständigen Setzung von
Geschäftsführungshandlungen befugt
(Einzelgeschäftsführungsbefugnis); widerspricht jedoch ein anderer
Gesellschafter der Vornahme einer Geschäftsführungshandlung, so hat
diese zu unterbleiben.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außerordentlichen Geschäftsführung sind nur alle
Geschäftsführer gemeinsam zur Setzung von
Geschäftsführungshandlungen befugt (Gesamtgeschäftsführung mit
Einstimmigkeitsprinzip); es bedarf somit für jede
Geschäftsführungshandlung der einstimmigen Zustimmung aller
Gesellschafter, es sei denn, dass Gefahr im Verzug ist.</w:t>
      </w:r>
    </w:p>
    <w:p>
      <w:pPr>
        <w:widowControl w:val="on"/>
        <w:pBdr/>
        <w:spacing w:before="140" w:after="240" w:line="288" w:lineRule="auto"/>
        <w:ind w:left="0" w:right="0"/>
        <w:jc w:val="left"/>
      </w:pPr>
      <w:r>
        <w:rPr>
          <w:rFonts w:ascii="Arial" w:hAnsi="Arial" w:eastAsia="Arial" w:cs="Arial"/>
          <w:color w:val="000000"/>
          <w:sz w:val="20"/>
          <w:szCs w:val="20"/>
        </w:rPr>
        <w:t xml:space="preserve">Zur Einräumung einer Vollmacht iSd § 1008 ABGB bedarf es
der Zustimmung aller Gesellschafter, es sei denn, dass Gefahr im
Verzug ist. Der Widerruf einer derartigen Vollmacht kann von jedem
einzelnen der Gesellschafter vorgenommen werden. Gefahr in Verzug
setzt voraus, dass eine Handlung so dringend notwendig ist, dass
der mit der Einholung der Einwilligung bzw Zustimmung der anderen
Gesellschafter verbundene Aufschub mit der Gefahr einer schweren
Schädigung der Gesellschafter und somit der anderen Gesellschafter
verbunden wäre.</w:t>
      </w:r>
    </w:p>
    <w:p>
      <w:pPr>
        <w:widowControl w:val="on"/>
        <w:pBdr/>
        <w:spacing w:before="140" w:after="240" w:line="288" w:lineRule="auto"/>
        <w:ind w:left="0" w:right="0"/>
        <w:jc w:val="left"/>
      </w:pPr>
      <w:r>
        <w:rPr>
          <w:rFonts w:ascii="Arial" w:hAnsi="Arial" w:eastAsia="Arial" w:cs="Arial"/>
          <w:color w:val="000000"/>
          <w:sz w:val="20"/>
          <w:szCs w:val="20"/>
        </w:rPr>
        <w:t xml:space="preserve">Die Befugnis eines Gesellschafters zur Geschäftsführung kann
einem Gesellschafter aufgrund einer Klage aller übrigen
Gesellschafter durch gerichtliche Entscheidung entzogen werden,
wenn ein wichtiger Grund vorliegt; ein solcher Grund ist
insbesondere grobe Pflichtverletzung oder Unfähigkeit zur
ordnungsgemäßen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Ein Gesellschafter kann seine Befugnis zur Geschäftsführung
kündigen, wenn ein wichtiger Grund vorliegt. Die Geschäftsführung
darf nur in der Art gekündigt werden, dass die Gesellschafter für
die Führung der Geschäfte anderweitig Vorsorge treffen können, es
sei denn, dass der wichtige Grund auch die unzeitige Kündigung
rechtfertigt.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Kontrollrecht der Gesellschafter</w:t>
      </w:r>
      <w:bookmarkStart w:id="76054855" w:name="link11"/>
      <w:bookmarkEnd w:id="76054855"/>
      <w:hyperlink w:anchor="note11" w:history="1">
        <w:r>
          <w:rPr>
            <w:rFonts w:ascii="Arial" w:hAnsi="Arial" w:eastAsia="Arial" w:cs="Arial"/>
            <w:b/>
            <w:bCs/>
            <w:color w:val="006BB6"/>
            <w:position w:val="6"/>
            <w:sz w:val="31"/>
            <w:szCs w:val="31"/>
            <w:vertAlign w:val="superscript"/>
          </w:rPr>
          <w:t xml:space="preserve">11</w:t>
        </w:r>
      </w:hyperlink>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ist verpflichtet, jedem
anderen Gesellschafter alle erforderlichen Informationen und
Einblicke zu geben, auf Verlangen über den Stand der Geschäfte
Auskunft zu erteilen und Rechenschaft abzulegen sowie alle
Aufzeichnungen zur Einsicht vorzulegen. Ein Gesellschafter kann
sich, auch wenn er von der Geschäftsführung ausgeschlossen ist, von
den Angelegenheiten der Gesellschaft persönlich unterrichten, die
Aufzeichnungen der Gesellschaft einsehen und sich aus ihnen eine
Abrechnung anfertigen oder die Vorlage einer solchen Abrechnung
fordern.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Verteilung von Gewinn und Verlust</w:t>
      </w:r>
      <w:bookmarkStart w:id="33050804" w:name="link12"/>
      <w:bookmarkEnd w:id="33050804"/>
      <w:hyperlink w:anchor="note12" w:history="1">
        <w:r>
          <w:rPr>
            <w:rFonts w:ascii="Arial" w:hAnsi="Arial" w:eastAsia="Arial" w:cs="Arial"/>
            <w:b/>
            <w:bCs/>
            <w:color w:val="006BB6"/>
            <w:position w:val="6"/>
            <w:sz w:val="31"/>
            <w:szCs w:val="31"/>
            <w:vertAlign w:val="superscript"/>
          </w:rPr>
          <w:t xml:space="preserve">12</w:t>
        </w:r>
      </w:hyperlink>
    </w:p>
    <w:p>
      <w:pPr>
        <w:widowControl w:val="on"/>
        <w:pBdr/>
        <w:spacing w:before="140" w:after="240" w:line="288" w:lineRule="auto"/>
        <w:ind w:left="0" w:right="0"/>
        <w:jc w:val="left"/>
      </w:pPr>
      <w:r>
        <w:rPr>
          <w:rFonts w:ascii="Arial" w:hAnsi="Arial" w:eastAsia="Arial" w:cs="Arial"/>
          <w:color w:val="000000"/>
          <w:sz w:val="20"/>
          <w:szCs w:val="20"/>
        </w:rPr>
        <w:t xml:space="preserve">Am Schluss jedes Geschäftsjahres wird aufgrund einer
Jahresabrechnung der Gewinn oder Verlust ermittelt und der Anteil
jedes Gesellschafters daran berechnet.</w:t>
      </w:r>
    </w:p>
    <w:p>
      <w:pPr>
        <w:widowControl w:val="on"/>
        <w:pBdr/>
        <w:spacing w:before="140" w:after="240" w:line="288" w:lineRule="auto"/>
        <w:ind w:left="0" w:right="0"/>
        <w:jc w:val="left"/>
      </w:pPr>
      <w:r>
        <w:rPr>
          <w:rFonts w:ascii="Arial" w:hAnsi="Arial" w:eastAsia="Arial" w:cs="Arial"/>
          <w:color w:val="000000"/>
          <w:sz w:val="20"/>
          <w:szCs w:val="20"/>
        </w:rPr>
        <w:t xml:space="preserve">Die Verteilung des Gewinns erfolgt entsprechend dem Verhältnis
der Kapitalanteile der Gesellschafter; demnach entfallen</w:t>
      </w:r>
    </w:p>
    <w:p>
      <w:pPr>
        <w:numPr>
          <w:ilvl w:val="0"/>
          <w:numId w:val="2805625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Kunibert Kochlöffel 30/75 (dreißig
Fünfundsiebzigstel),</w:t>
      </w:r>
    </w:p>
    <w:p>
      <w:pPr>
        <w:numPr>
          <w:ilvl w:val="0"/>
          <w:numId w:val="2805625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Berthold Bratpfanne 20/75 (zwanzig
Fünfundsiebzigstel) und</w:t>
      </w:r>
    </w:p>
    <w:p>
      <w:pPr>
        <w:numPr>
          <w:ilvl w:val="0"/>
          <w:numId w:val="2805625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Sebastian Sektflöte 25/75
(fünfundzwanzig Fünfundsiebzigstel)</w:t>
      </w:r>
    </w:p>
    <w:p>
      <w:pPr>
        <w:widowControl w:val="on"/>
        <w:pBdr/>
        <w:spacing w:before="140" w:after="240" w:line="288" w:lineRule="auto"/>
        <w:ind w:left="0" w:right="0"/>
        <w:jc w:val="left"/>
      </w:pPr>
      <w:r>
        <w:rPr>
          <w:rFonts w:ascii="Arial" w:hAnsi="Arial" w:eastAsia="Arial" w:cs="Arial"/>
          <w:color w:val="000000"/>
          <w:sz w:val="20"/>
          <w:szCs w:val="20"/>
        </w:rPr>
        <w:t xml:space="preserve">des Gewinns.</w:t>
      </w:r>
    </w:p>
    <w:p>
      <w:pPr>
        <w:widowControl w:val="on"/>
        <w:pBdr/>
        <w:spacing w:before="140" w:after="240" w:line="288" w:lineRule="auto"/>
        <w:ind w:left="0" w:right="0"/>
        <w:jc w:val="left"/>
      </w:pPr>
      <w:r>
        <w:rPr>
          <w:rFonts w:ascii="Arial" w:hAnsi="Arial" w:eastAsia="Arial" w:cs="Arial"/>
          <w:color w:val="000000"/>
          <w:sz w:val="20"/>
          <w:szCs w:val="20"/>
        </w:rPr>
        <w:t xml:space="preserve">Ergibt sich bei der Berechnung des Gewinns ein negativer Wert –
somit ein Verlust –, dann ist dieser Verlust auf die Gesellschafter
entsprechend der Regelung für die Verteilung des Gewinns
aufzuteilen.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Vertretung</w:t>
      </w:r>
      <w:bookmarkStart w:id="77874186" w:name="link13"/>
      <w:bookmarkEnd w:id="77874186"/>
      <w:hyperlink w:anchor="note13" w:history="1">
        <w:r>
          <w:rPr>
            <w:rFonts w:ascii="Arial" w:hAnsi="Arial" w:eastAsia="Arial" w:cs="Arial"/>
            <w:b/>
            <w:bCs/>
            <w:color w:val="006BB6"/>
            <w:position w:val="6"/>
            <w:sz w:val="31"/>
            <w:szCs w:val="31"/>
            <w:vertAlign w:val="superscript"/>
          </w:rPr>
          <w:t xml:space="preserve">13</w:t>
        </w:r>
      </w:hyperlink>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es sich bei der Gesellschaft um eine
unternehmerisch tätige Außengesellschaft iSd § 1197 ABGB
handelt.</w:t>
      </w:r>
    </w:p>
    <w:p>
      <w:pPr>
        <w:widowControl w:val="on"/>
        <w:pBdr/>
        <w:spacing w:before="140" w:after="240" w:line="288" w:lineRule="auto"/>
        <w:ind w:left="0" w:right="0"/>
        <w:jc w:val="left"/>
      </w:pPr>
      <w:r>
        <w:rPr>
          <w:rFonts w:ascii="Arial" w:hAnsi="Arial" w:eastAsia="Arial" w:cs="Arial"/>
          <w:color w:val="000000"/>
          <w:sz w:val="20"/>
          <w:szCs w:val="20"/>
        </w:rPr>
        <w:t xml:space="preserve">Die Befugnis zur Vertretung aller Gesellschafter in
Gesellschaftsangelegenheiten deckt sich mit der Befugnis zur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Alle Gesellschafter werden aus dem Handeln eines Gesellschafters
im Namen der Gesellschaft auch dann berechtigt und verpflichtet,
wenn dieser Gesellschafter nicht, nicht allein oder nur beschränkt
vertretungsbefugt war, der Dritte den Mangel der
Vertretungsbefugnis aber weder kannte noch kennen musste.</w:t>
      </w:r>
    </w:p>
    <w:p>
      <w:pPr>
        <w:widowControl w:val="on"/>
        <w:pBdr/>
        <w:spacing w:before="140" w:after="240" w:line="288" w:lineRule="auto"/>
        <w:ind w:left="0" w:right="0"/>
        <w:jc w:val="left"/>
      </w:pPr>
      <w:r>
        <w:rPr>
          <w:rFonts w:ascii="Arial" w:hAnsi="Arial" w:eastAsia="Arial" w:cs="Arial"/>
          <w:color w:val="000000"/>
          <w:sz w:val="20"/>
          <w:szCs w:val="20"/>
        </w:rPr>
        <w:t xml:space="preserve">Die Vertretungsmacht kann einem Gesellschafter aufgrund einer
Klage aller übrigen Gesellschafter durch gerichtliche Entscheidung
entzogen werden, wenn ein wichtiger Grund vorliegt; ein solcher
Grund ist insbesondere grobe Pflichtverletzung oder Unfähigkeit zur
ordnungsgemäßen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Wer, ohne Gesellschafter zu sein, mit der Vertretung in
Gesellschaftsangelegenheiten betraut wird, vertritt die
Gesellschafter nach Maßgabe der erteilten Vollmacht.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Haftung</w:t>
      </w:r>
      <w:bookmarkStart w:id="27411436" w:name="link14"/>
      <w:bookmarkEnd w:id="27411436"/>
      <w:hyperlink w:anchor="note14" w:history="1">
        <w:r>
          <w:rPr>
            <w:rFonts w:ascii="Arial" w:hAnsi="Arial" w:eastAsia="Arial" w:cs="Arial"/>
            <w:b/>
            <w:bCs/>
            <w:color w:val="006BB6"/>
            <w:position w:val="6"/>
            <w:sz w:val="31"/>
            <w:szCs w:val="31"/>
            <w:vertAlign w:val="superscript"/>
          </w:rPr>
          <w:t xml:space="preserve">14</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Haftung der Gesellschafter für Verbindlichkeiten, die im
Rahmen der Tätigkeit der Gesellschaft begründet werden, richtet
sich nach den Regeln des bürgerlichen Rechts und des
Unternehmensrechts.</w:t>
      </w:r>
    </w:p>
    <w:p>
      <w:pPr>
        <w:widowControl w:val="on"/>
        <w:pBdr/>
        <w:spacing w:before="140" w:after="240" w:line="288" w:lineRule="auto"/>
        <w:ind w:left="0" w:right="0"/>
        <w:jc w:val="left"/>
      </w:pPr>
      <w:r>
        <w:rPr>
          <w:rFonts w:ascii="Arial" w:hAnsi="Arial" w:eastAsia="Arial" w:cs="Arial"/>
          <w:color w:val="000000"/>
          <w:sz w:val="20"/>
          <w:szCs w:val="20"/>
        </w:rPr>
        <w:t xml:space="preserve">Textvariante (der Unterschied im Regelungsinhalt wird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Für Verbindlichkeiten, welche der Gesellschaft zuzuordnen sind,
haften alle Gesellschafter solidarisch. Die Haftung für
schuldhaftes Verhalten eines Gesellschafters bleibt im
Innenverhältnis ungeteilt. Alle aus diesem Grund in Anspruch
genommenen Gesellschafter sind vom Schädiger im Innenverhältnis
schadlos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Konkurrenzverbot</w:t>
      </w:r>
      <w:bookmarkStart w:id="63125835" w:name="link15"/>
      <w:bookmarkEnd w:id="63125835"/>
      <w:hyperlink w:anchor="note15" w:history="1">
        <w:r>
          <w:rPr>
            <w:rFonts w:ascii="Arial" w:hAnsi="Arial" w:eastAsia="Arial" w:cs="Arial"/>
            <w:b/>
            <w:bCs/>
            <w:color w:val="006BB6"/>
            <w:position w:val="6"/>
            <w:sz w:val="31"/>
            <w:szCs w:val="31"/>
            <w:vertAlign w:val="superscript"/>
          </w:rPr>
          <w:t xml:space="preserve">15</w:t>
        </w:r>
      </w:hyperlink>
    </w:p>
    <w:p>
      <w:pPr>
        <w:widowControl w:val="on"/>
        <w:pBdr/>
        <w:spacing w:before="140" w:after="240" w:line="288" w:lineRule="auto"/>
        <w:ind w:left="0" w:right="0"/>
        <w:jc w:val="left"/>
      </w:pPr>
      <w:r>
        <w:rPr>
          <w:rFonts w:ascii="Arial" w:hAnsi="Arial" w:eastAsia="Arial" w:cs="Arial"/>
          <w:color w:val="000000"/>
          <w:sz w:val="20"/>
          <w:szCs w:val="20"/>
        </w:rPr>
        <w:t xml:space="preserve">Den Gesellschaftern ist es untersagt, eine Geschäftstätigkeit
auszuüben, welche dem im Rahmen der Gesellschaft verfolgten
gemeinsamen Interesse zuwiderläuft.</w:t>
      </w:r>
    </w:p>
    <w:p>
      <w:pPr>
        <w:widowControl w:val="on"/>
        <w:pBdr/>
        <w:spacing w:before="140" w:after="240" w:line="288" w:lineRule="auto"/>
        <w:ind w:left="0" w:right="0"/>
        <w:jc w:val="left"/>
      </w:pPr>
      <w:r>
        <w:rPr>
          <w:rFonts w:ascii="Arial" w:hAnsi="Arial" w:eastAsia="Arial" w:cs="Arial"/>
          <w:color w:val="000000"/>
          <w:sz w:val="20"/>
          <w:szCs w:val="20"/>
        </w:rPr>
        <w:t xml:space="preserve">Ein Gesellschafter darf ohne Einwilligung der anderen
Gesellschafter</w:t>
      </w:r>
    </w:p>
    <w:p>
      <w:pPr>
        <w:numPr>
          <w:ilvl w:val="0"/>
          <w:numId w:val="81968157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weder im Geschäftszweig der Gesellschaft Geschäfte machen,</w:t>
      </w:r>
    </w:p>
    <w:p>
      <w:pPr>
        <w:numPr>
          <w:ilvl w:val="0"/>
          <w:numId w:val="81968157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noch an einer anderen gleichartigen Gesellschaft als
unbeschränkt haftender Gesellschafter teilnehmen oder Produkte und
Dienstleistungen fördern, die in direkter Konkurrenz zum
Geschäftszweig der Gesellschaft stehen.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festgehalten wird, dass die von einem
Gesellschafter im Zeitpunkt der Unterzeichnung dieses Vertrages im
Rahmen seines jeweiligen eigenen Gewerbebetriebes ausgeübte
Tätigkeit als weiterhin zulässig anzusehen ist.</w:t>
      </w:r>
    </w:p>
    <w:p>
      <w:pPr>
        <w:widowControl w:val="on"/>
        <w:pBdr/>
        <w:spacing w:before="140" w:after="240" w:line="288" w:lineRule="auto"/>
        <w:ind w:left="0" w:right="0"/>
        <w:jc w:val="left"/>
      </w:pPr>
      <w:r>
        <w:rPr>
          <w:rFonts w:ascii="Arial" w:hAnsi="Arial" w:eastAsia="Arial" w:cs="Arial"/>
          <w:color w:val="000000"/>
          <w:sz w:val="20"/>
          <w:szCs w:val="20"/>
        </w:rPr>
        <w:t xml:space="preserve">Dieses Konkurrenzverbot gilt auch drei Jahre nach dem
Ausscheiden eines Gesellschafters jedweder Art weiter.</w:t>
      </w:r>
    </w:p>
    <w:p>
      <w:pPr>
        <w:widowControl w:val="on"/>
        <w:pBdr/>
        <w:spacing w:before="140" w:after="240" w:line="288" w:lineRule="auto"/>
        <w:ind w:left="0" w:right="0"/>
        <w:jc w:val="left"/>
      </w:pPr>
      <w:r>
        <w:rPr>
          <w:rFonts w:ascii="Arial" w:hAnsi="Arial" w:eastAsia="Arial" w:cs="Arial"/>
          <w:color w:val="000000"/>
          <w:sz w:val="20"/>
          <w:szCs w:val="20"/>
        </w:rPr>
        <w:t xml:space="preserve">Verletzt ein Gesellschafter die ihm nach diesen Bestimmungen
obliegende Verpflichtung, so kann die Gesellschaft Schadenersatz
fordern; sie kann stattdessen von dem Gesellschafter verlangen,
dass der Gesellschafter die für eigene Rechnung gemachten Geschäfte
als für Rechnung der Gesellschaft eingegangen gelten lasse und die
aus Geschäften für fremde Rechnung bezogene Vergütung herausgebe
oder seinen Anspruch auf die Vergütung abtrete. Über die
Geltendmachung dieser Ansprüche beschließen die übrigen
Gesellschafter.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Sonstiges</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dieses Vertrages verbundenen Kosten und
Abgaben tragen die Gesellschafter zur ungeteilten Hand.</w:t>
      </w:r>
    </w:p>
    <w:p>
      <w:pPr>
        <w:widowControl w:val="on"/>
        <w:pBdr/>
        <w:spacing w:before="140" w:after="240" w:line="288" w:lineRule="auto"/>
        <w:ind w:left="0" w:right="0"/>
        <w:jc w:val="left"/>
      </w:pPr>
      <w:r>
        <w:rPr>
          <w:rFonts w:ascii="Arial" w:hAnsi="Arial" w:eastAsia="Arial" w:cs="Arial"/>
          <w:color w:val="000000"/>
          <w:sz w:val="20"/>
          <w:szCs w:val="20"/>
        </w:rPr>
        <w:t xml:space="preserve">Die Unwirksamkeit einer oder einzelner Vertragsbestimmungen hat
nicht die Unwirksamkeit des gesamten Vertrages oder des
betreffenden Vertragspunktes zur Folge. Anstelle der unwirksamen
Bestimmungen hat eine dem Willen der Vertragsteile möglichst nahe
kommende Bestimmung und, falls diese nicht ermittelt werden kann,
die gesetzliche Regelung zu gelten.</w:t>
      </w:r>
    </w:p>
    <w:p>
      <w:pPr>
        <w:widowControl w:val="on"/>
        <w:pBdr/>
        <w:spacing w:before="140" w:after="240" w:line="288" w:lineRule="auto"/>
        <w:ind w:left="0" w:right="0"/>
        <w:jc w:val="left"/>
      </w:pPr>
      <w:r>
        <w:rPr>
          <w:rFonts w:ascii="Arial" w:hAnsi="Arial" w:eastAsia="Arial" w:cs="Arial"/>
          <w:color w:val="000000"/>
          <w:sz w:val="20"/>
          <w:szCs w:val="20"/>
        </w:rPr>
        <w:t xml:space="preserve">Die Bestimmungen des Vertrages sind so auszulegen und
handzuhaben, dass der Bestand des Unternehmens möglichst gewahrt
ist. Besteht zwischen den derzeitigen Gesellschaftern und etwaigen
Rechtsnachfolgern der heutigen Gesellschafter eine
Meinungsverschiedenheit über den Sinn einzelner Vertragspunkte, so
hat die Ansicht der Altgesellschafter, sofern sie einhellig ist,
als dem Vertragswillen entsprechend zu gelten.</w:t>
      </w:r>
    </w:p>
    <w:p>
      <w:pPr>
        <w:widowControl w:val="on"/>
        <w:pBdr/>
        <w:spacing w:before="140" w:after="240" w:line="288" w:lineRule="auto"/>
        <w:ind w:left="0" w:right="0"/>
        <w:jc w:val="left"/>
      </w:pPr>
      <w:r>
        <w:rPr>
          <w:rFonts w:ascii="Arial" w:hAnsi="Arial" w:eastAsia="Arial" w:cs="Arial"/>
          <w:color w:val="000000"/>
          <w:sz w:val="20"/>
          <w:szCs w:val="20"/>
        </w:rPr>
        <w:t xml:space="preserve">Diesen Vertrag ergänzende oder abändernde mündliche
Vereinbarungen oder Nebenabreden bestehen nicht. Änderungen oder
Ergänzungen dieses Vertrages bedürfen zu ihrer Wirksamkeit der
Einhaltung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Auf diesen Vertrag ist ausschließlich österreichisches Recht
anwendbar unter Ausschluss der Verweisungsnormen.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Kunibert Kochlöffel</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Berthold Bratpfanne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Sebastian Sektflöte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6164514" w:name="note1"/>
            <w:bookmarkEnd w:id="36164514"/>
            <w:bookmarkStart w:id="6093418869303" w:name="note1"/>
            <w:r>
              <w:rPr>
                <w:rFonts w:ascii="Arial" w:hAnsi="Arial" w:eastAsia="Arial" w:cs="Arial"/>
                <w:b/>
                <w:bCs/>
                <w:color w:val="000000"/>
                <w:position w:val="0"/>
                <w:sz w:val="20"/>
                <w:szCs w:val="20"/>
              </w:rPr>
              <w:t xml:space="preserve">[1]</w:t>
            </w:r>
            <w:bookmarkEnd w:id="609341886930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Ausgangssituation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Kunibert Kochlöffel, Berthold Bratpfanne und Sebastian Sektflöte
sind drei Gastronomen (Inhaber einer Gewerbeberechtigung für das
reglementierte Gewerbe „Gastgewerbe“ iSd § 94 Z 26 der
Gewerbeordnung); jeder von ihnen betreibt in Wien ein bekanntes
(gut frequentiertes) Gastronomieunternehmen in Form eines
Restaurants.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Unsere Protagonisten haben erkannt, dass in Wien Bedarf an einem
(weiteren) professionell geführten Nachtklub besteht; auf Basis
dieser Feststellung haben sie die nachstehende Strategie
entwickelt:</w:t>
            </w:r>
          </w:p>
          <w:p>
            <w:pPr>
              <w:numPr>
                <w:ilvl w:val="0"/>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Jeder von ihnen soll sein eigenes Gastronomieunternehmen weiter
betreiben.</w:t>
            </w:r>
          </w:p>
          <w:p>
            <w:pPr>
              <w:numPr>
                <w:ilvl w:val="0"/>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drei Gastronomen wollen jedoch zum Zweck des Betriebes
eines (ihrem gewohnten professionellen Niveau entsprechenden)
Nachtklubs in organisierter Form zusammenarbeiten.</w:t>
            </w:r>
          </w:p>
          <w:p>
            <w:pPr>
              <w:numPr>
                <w:ilvl w:val="0"/>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Diese punktuelle Kooperation soll im Rahmen einer Gesellschaft
erfolgen,
</w:t>
            </w:r>
          </w:p>
          <w:p>
            <w:pPr>
              <w:numPr>
                <w:ilvl w:val="1"/>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es den drei Gastronomen ermöglicht, gegenüber den
Nachtklub-Kunden unter einem gemeinsamen Namen und mit einem
gemeinsamen Logo aufzutreten,</w:t>
            </w:r>
          </w:p>
          <w:p>
            <w:pPr>
              <w:numPr>
                <w:ilvl w:val="1"/>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aber keinen großen administrativen Aufwand erfordert.</w:t>
            </w:r>
          </w:p>
          <w:p>
            <w:pPr>
              <w:numPr>
                <w:ilvl w:val="0"/>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 der Betrieb eines Nachtklubs eine eigene Betriebsstätte,
eigenes Personal und sonstige Aufwendungen erforderlich macht, soll
die Gesellschaft mit eigenen Mitteln ausgestattet werden.</w:t>
            </w:r>
          </w:p>
          <w:p>
            <w:pPr>
              <w:numPr>
                <w:ilvl w:val="0"/>
                <w:numId w:val="39630854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Gastronomen sind es als Einzelunternehmer gewohnt, für
Verbindlichkeiten aus ihrem Betrieb persönlich unbeschränkt zu
haften, die Übernahme einer derartigen Haftung für die im Rahmen
der Gesellschaft entstehenden Verbindlichkeiten stört sie daher
nicht.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Resultat dieser Erwägungen beschließen die drei Gastronomen
eine Gesellschaft bürgerlichen Rechts zu gründen.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GesbR soll eine „Außengesellschaft“ iSd § 1176
Abs 1 erster Satz ABGB sei, das heißt, die Gesellschafter
sollen im Rechtsverkehr (gegenüber Dritten wie etwa Gästen oder
Lieferanten) gemeinschaftlich auftreten. (Das Gegenteil wäre der
Fall einer GesbR als einer reinen Innengesellschaft, bei welcher
die gesellschaftliche Kooperation auf das interne Verhältnis der
Gesellschafter beschränkt und damit diese Kooperation für
Außenstehende gar nicht erkennbar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743419" w:name="note2"/>
            <w:bookmarkEnd w:id="38743419"/>
            <w:bookmarkStart w:id="2858101139981" w:name="note2"/>
            <w:r>
              <w:rPr>
                <w:rFonts w:ascii="Arial" w:hAnsi="Arial" w:eastAsia="Arial" w:cs="Arial"/>
                <w:b/>
                <w:bCs/>
                <w:color w:val="000000"/>
                <w:position w:val="0"/>
                <w:sz w:val="20"/>
                <w:szCs w:val="20"/>
              </w:rPr>
              <w:t xml:space="preserve">[2]</w:t>
            </w:r>
            <w:bookmarkEnd w:id="285810113998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Präambel sollten die für den Vertrag wesentlichen
Eigenschaften der Vertragsparteien und die Motive für den
Vertragsabschluss angeführt werden; diese Informationen können bei
der Interpretation des Vertrages hilfreich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(Kernbestimmungen betreffend diese Rechtsform finden
sich in den §§ 1175 bis 1216e ABGB) ist gem § 1175
ABGB eine von mindestens zwei Personen durch Vertrag errichtete
Gesellschaft; scheidet der vorletzte Gesellschafter aus, so kann
die Gesellschaft als eine solche nicht weiterbestehen (vgl
§ 1215 ABGB). Die GesbR bedarf daher der ständigen
Mitgliedschaft von mindestens zwei Personen.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wird durch einen Vertrag der Gesellschafter gegründet,
der an sich keinen Formvorschriften unterliegt (solche könnten sich
aber aus Spezialnormen für bestimmte Rechtsgebiete ergeben); eine
Eintragung der Gesellschaft in das Firmenbuch ist weder notwendig,
noch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ist nach § 1175 Abs 2 ABGB nicht rechtsfähig
(sie ist weder eine rechtsfähige Gesamthandschaft wie die OG, noch
eine juristische Person wie die GmbH); die GesbR als Gesellschaft
kann daher kein Eigentum haben, nicht im Grundbuch, Patentregister,
Markenregister etc eingetragen sein, niemanden etwas schulden und
im Prozess weder als Klägerin, noch als Beklagte auftreten. Die
eigentlichen (rechtlichen) Träger jener Rechte und
Verbindlichkeiten, die wirtschaftlich der GesbR zugeordnet werden,
sind die Gesellschafter (das Grundstück der „Meier &amp; Müller
GesbR“ steht zB im grundbücherlichen Miteigentum von Hans Meier und
Fritz Müller).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gesetzlichen Vorschriften betreffend die GesbR sind –
namentlich im Bereich der Beziehungen der Gesellschafter
untereinander – weitgehend dispositiv (sodass etwa
Einlagenverpflichtungen, Geschäftsführungsbefugnis,
Gewinnverteilung und Entnahmerecht im Gesellschaftsvertrag
abweichend vom gesetzlichen Leitmodell geregelt werden können);
nicht durch Vertrag unter den Gesellschaftern ausgeschlossen werden
kann die Anwendung von Bestimmungen, die dritte Personen schützen
sollen, wie beispielsweise § 1197 Abs 2 ABGB betreffend
die Vertretung bei der unternehmerisch tätigen Außengesellschaft
bürgerlichen Rechts.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Frage, ob die Verwendung der Rechtsform der
GesbR stets zulässig ist, muss insbesondere auf § 8 Abs 3
UGB verwiesen werden, der anordnet, dass dann, wenn</w:t>
            </w:r>
          </w:p>
          <w:p>
            <w:pPr>
              <w:numPr>
                <w:ilvl w:val="0"/>
                <w:numId w:val="76850011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mehrere Personen ein Unternehmen in der Rechtsform einer GesbR
betreiben und</w:t>
            </w:r>
          </w:p>
          <w:p>
            <w:pPr>
              <w:numPr>
                <w:ilvl w:val="0"/>
                <w:numId w:val="76850011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diese Gesellschaft den Schwellwert des § 189 UGB (also die
Umsatzerlös-Grenze, jenseits deren Rechnungslegungspflicht gemäß
dem Dritten Buch des UGB besteht) überschreitet,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Gesellschafter verpflichtet sind, diese Gesellschaft als
Offene Gesellschaft oder als Kommanditgesellschaft in das
Firmenbuch eintragen zu lassen (anders ausgedrückt: der Betrieb
eines die Umsatzerlös-Grenze des § 189 UGB überschreitenden
Unternehmens in der Rechtsform der GesbR ist verboten).</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610990" w:name="note3"/>
            <w:bookmarkEnd w:id="38610990"/>
            <w:bookmarkStart w:id="9895247075705" w:name="note3"/>
            <w:r>
              <w:rPr>
                <w:rFonts w:ascii="Arial" w:hAnsi="Arial" w:eastAsia="Arial" w:cs="Arial"/>
                <w:b/>
                <w:bCs/>
                <w:color w:val="000000"/>
                <w:position w:val="0"/>
                <w:sz w:val="20"/>
                <w:szCs w:val="20"/>
              </w:rPr>
              <w:t xml:space="preserve">[3]</w:t>
            </w:r>
            <w:bookmarkEnd w:id="98952470757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Kunibert Kochlöffel, Berthold Bratpfanne und Sebastian
Sektflöte handelt es sich um natürliche Personen, sie können daher
Gesellschafter einer Gesellschaft bürgerlichen Rechts sein;
ebenfalls als Gesellschafter kämen juristische Personen (etwa die
„Gastronomie GmbH“ oder die „Heurigen AG“) und vom Gesetzgeber mit
Rechtsfähigkeit ausgestattete sonstige Organisationen
(beispielsweise die „Meier &amp; Müller OG“ oder die „Kochlöffel
KG“) infrage.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Nicht Gesellschafterin einer GesbR kann dagegen eine andere
GesbR sein, da der Gesellschaft bürgerlichen Rechts die
Rechtsfähigkeit fehlt und sie daher als solche weder Rechte
erwerben, noch Verbindlichkeiten eingehen kann (wie Anmerkung 1).
Dieser Umstand hätte im vorliegenden Fall zB dann Bedeutung, wenn
die drei Gastronomen auf die Idee kämen, ihre „Mausefalle
Nachtklub-Betriebs-GesbR“ mit der von drei Barmixern gebildeten
„Spätabends-GesbR“ zu vereinen; einer derartigen GesbR könnten als
Gesellschafter</w:t>
            </w:r>
          </w:p>
          <w:p>
            <w:pPr>
              <w:numPr>
                <w:ilvl w:val="0"/>
                <w:numId w:val="55559845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sechs natürlichen Personen (unsere drei Gastronomen und die
drei Barmixer) angehören,</w:t>
            </w:r>
          </w:p>
          <w:p>
            <w:pPr>
              <w:numPr>
                <w:ilvl w:val="0"/>
                <w:numId w:val="55559845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nicht aber die beiden erstgenannten Gesellschaften bürgerlichen
Rechts.</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579154" w:name="note4"/>
            <w:bookmarkEnd w:id="55579154"/>
            <w:bookmarkStart w:id="8850844248230" w:name="note4"/>
            <w:r>
              <w:rPr>
                <w:rFonts w:ascii="Arial" w:hAnsi="Arial" w:eastAsia="Arial" w:cs="Arial"/>
                <w:b/>
                <w:bCs/>
                <w:color w:val="000000"/>
                <w:position w:val="0"/>
                <w:sz w:val="20"/>
                <w:szCs w:val="20"/>
              </w:rPr>
              <w:t xml:space="preserve">[4]</w:t>
            </w:r>
            <w:bookmarkEnd w:id="88508442482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Obwohl der Gesellschaftsvertrag einer GesbR grundsätzlich keinen
Formvorschriften unterliegt und sogar stillschweigend abgeschlossen
werden könnte, empfiehlt es sich, eine ausdrückliche und
schriftliche Erklärung der Vergesellschaftung als GesbR
vorzunehmen:</w:t>
            </w:r>
          </w:p>
          <w:p>
            <w:pPr>
              <w:numPr>
                <w:ilvl w:val="0"/>
                <w:numId w:val="75433588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Einerseits wird durch eine derartige Erklärung expressis verbis
festgehalten, dass die Errichtung einer Gesellschaft beabsichtigt
ist und nicht etwa eine bloß tatsächliche Zusammenarbeit ohne
rechtliche Verbindlichkeit.</w:t>
            </w:r>
          </w:p>
          <w:p>
            <w:pPr>
              <w:numPr>
                <w:ilvl w:val="0"/>
                <w:numId w:val="75433588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Andererseits kann durch die ausdrückliche Nennung der
Rechtsform der GesbR ein (späterer) Streit darüber vermieden
werden, ob tatsächlich eine GesbR und nicht etwa eine Offene
Gesellschaft errichtet werden sollte.</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8982740" w:name="note5"/>
            <w:bookmarkEnd w:id="48982740"/>
            <w:bookmarkStart w:id="9643885419622" w:name="note5"/>
            <w:r>
              <w:rPr>
                <w:rFonts w:ascii="Arial" w:hAnsi="Arial" w:eastAsia="Arial" w:cs="Arial"/>
                <w:b/>
                <w:bCs/>
                <w:color w:val="000000"/>
                <w:position w:val="0"/>
                <w:sz w:val="20"/>
                <w:szCs w:val="20"/>
              </w:rPr>
              <w:t xml:space="preserve">[5]</w:t>
            </w:r>
            <w:bookmarkEnd w:id="964388541962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Begriff „Innengesellschaft“ wird im Gegensatz zu
„Außengesellschaft“ verwendet, um den Umstand zu bezeichnen, dass
das betreffende Organisationsgebilde nicht nach außen (gegenüber
Dritten) als Gesellschaft auftritt, sondern nur im Verhältnis der
Gesellschafter zueinander. Das bedeutet, dass die Gesellschaft nach
außen hin nicht als solche verpflichtet wird, da nur jeweils einer
der Gesellschafter im eigenen Namen, also nicht im Namen der
Gesellschaft nach außen auftritt. Es findet keine Vertretung der
Innengesellschaft nach außen statt.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zunächst, dass das Vertragsmuster von
„Bezeichnung“ bzw „Name“ der Gesellschaft spricht, nicht von
„Firma“. Das hat seinen Grund darin, dass</w:t>
            </w:r>
          </w:p>
          <w:p>
            <w:pPr>
              <w:numPr>
                <w:ilvl w:val="0"/>
                <w:numId w:val="2107912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Firma der in das Firmenbuch eingetragene Name eines
Unternehmers ist, unter dem dieser seine Geschäfte betreibt und die
Unterschrift abgibt (vgl § 17 Abs 1 UWG),</w:t>
            </w:r>
          </w:p>
          <w:p>
            <w:pPr>
              <w:numPr>
                <w:ilvl w:val="0"/>
                <w:numId w:val="2107912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GesbR aber mangels Rechtsfähigkeit nicht in das Firmenbuch
eingetragen werden und kein Unternehmer sein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Computerbegeisterte: Die Bezeichnung einer GesbR kann
gewissermaßen als eine Variable angesehen werden, welche die
Gesamtheit aller Gesellschafter dieser GesbR repräsentiert, wobei
die Gesellschafter ihrerseits die Träger der betreffenden Rechte
und Pflichten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Gesellschafter unter einem gemeinsamen Namen auftreten,
muss dieser nach dem Gesetz (vgl § 1177 ABGB)</w:t>
            </w:r>
          </w:p>
          <w:p>
            <w:pPr>
              <w:numPr>
                <w:ilvl w:val="0"/>
                <w:numId w:val="44530967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auf das Bestehen einer solchen Gesellschaft hindeuten,</w:t>
            </w:r>
          </w:p>
          <w:p>
            <w:pPr>
              <w:numPr>
                <w:ilvl w:val="0"/>
                <w:numId w:val="44530967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zur Kennzeichnung der Gesellschaft geeignet sein und</w:t>
            </w:r>
          </w:p>
          <w:p>
            <w:pPr>
              <w:numPr>
                <w:ilvl w:val="0"/>
                <w:numId w:val="44530967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Unterscheidungskraft besitzen.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Name darf über die Verhältnisse der Gesellschaft nicht in
die Irre führen.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in Angelegenheiten der Gesellschaft für alle Gesellschafter
gemeinsam auftritt, hat jedem, der ein rechtliches Interesse daran
hat, die Identität und die Anschrift der Gesellschafter
offenzulegen.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693052" w:name="note6"/>
            <w:bookmarkEnd w:id="75693052"/>
            <w:bookmarkStart w:id="466806277331" w:name="note6"/>
            <w:r>
              <w:rPr>
                <w:rFonts w:ascii="Arial" w:hAnsi="Arial" w:eastAsia="Arial" w:cs="Arial"/>
                <w:b/>
                <w:bCs/>
                <w:color w:val="000000"/>
                <w:position w:val="0"/>
                <w:sz w:val="20"/>
                <w:szCs w:val="20"/>
              </w:rPr>
              <w:t xml:space="preserve">[6]</w:t>
            </w:r>
            <w:bookmarkEnd w:id="46680627733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die Gesellschaft keinen erheblichen administrativen Aufwand
verursachen soll, ist der Sitz der GesbR identisch mit der Adresse
des Gesellschafters Kunibert Kochlöffel.</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19785" w:name="note7"/>
            <w:bookmarkEnd w:id="6519785"/>
            <w:bookmarkStart w:id="8389112839792" w:name="note7"/>
            <w:r>
              <w:rPr>
                <w:rFonts w:ascii="Arial" w:hAnsi="Arial" w:eastAsia="Arial" w:cs="Arial"/>
                <w:b/>
                <w:bCs/>
                <w:color w:val="000000"/>
                <w:position w:val="0"/>
                <w:sz w:val="20"/>
                <w:szCs w:val="20"/>
              </w:rPr>
              <w:t xml:space="preserve">[7]</w:t>
            </w:r>
            <w:bookmarkEnd w:id="838911283979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in der Präambel angeführte „Zweck“ der Gesellschaft
die Absichten der Gesellschaftsgründer allgemein-abstrakt
umschreibt, benennt der „Gegenstand des Unternehmens“ konkrete
Tätigkeiten, die zur Verwirklichung dieser Absichten dienen
sollen.</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605187" w:name="note8"/>
            <w:bookmarkEnd w:id="33605187"/>
            <w:bookmarkStart w:id="1968955373951" w:name="note8"/>
            <w:r>
              <w:rPr>
                <w:rFonts w:ascii="Arial" w:hAnsi="Arial" w:eastAsia="Arial" w:cs="Arial"/>
                <w:b/>
                <w:bCs/>
                <w:color w:val="000000"/>
                <w:position w:val="0"/>
                <w:sz w:val="20"/>
                <w:szCs w:val="20"/>
              </w:rPr>
              <w:t xml:space="preserve">[8]</w:t>
            </w:r>
            <w:bookmarkEnd w:id="196895537395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Dauer des Gesellschaftsverhältnisses kann grundsätzlich auf
dreierlei Weise geregelt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auf bestimmte Zeit: Der Gesellschaftsvertrag nennt
eine Dauer (Frist), für die die betreffende GesbR errichtet wird
(zB „auf fünf Jahre“), oder einen Endzeitpunkt (zB „bis zum …
[Datum]“); vgl § 1208 Z 3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für ein bestimmtes Projekt: Im Gesellschaftsvertrag
wird ein konkretes Projekt definiert, für dessen Realisierung die
Gesellschaft ausschließlich dienen soll (zB „Die Gesellschaft dient
zur Aufführung des Bauwerks X.“); „für diese Situation sieht das
Gesetz vor, dass die GesbR sich von selbst auflöst, wenn das
unternommene Geschäft vollendet“ oder „nicht mehr fortzuführen“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auf unbestimmte Zeit: Der Gesellschaftsvertrag
sieht keine zeitliche Einschränkung vor (zB „Die Gesellschaft wird
auf unbestimmte Zeit errichtet.“); für diesen Fall sieht das Gesetz
die Möglichkeit einer ordentlichen (keine besonderen Gründe
voraussetzenden) Kündigung vor: § 1209 ABGB legt fest, dass
dann, wenn die Gesellschaft für unbestimmte Zeit eingegangen worden
ist, jeder Gesellschafter das Recht hat, den Gesellschaftsvertrag
aufzukündigen; die Kündigung muss für den Schluss eines
Geschäftsjahres erfolgen und mindestens sechs Monate vor diesem
Zeitpunkt stattfinden; eine Vereinbarung, durch die das
Kündigungsrecht ausgeschlossen oder in anderer Weise als durch
angemessene Verlängerung der Kündigungsfrist erschwert wird, ist
nichtig; die Kündigung löst die Gesellschaft als eine solche auf
(„Auflösungskündigung“).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Kunibert Kochlöffel, Berthold Bratpfanne und Sebastian
Sektflöte ihre Zusammenarbeit weder befristen, noch auf ein
konkretes Projekt beschränken wollen, wird im Vertragsmuster das
Modell der Gesellschaft auf unbestimmte Zeit gewählt.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 ist darauf hinzuweisen, dass grundsätzlich eine Kündigung
in zwei Formen gestaltet sein kann:</w:t>
            </w:r>
          </w:p>
          <w:p>
            <w:pPr>
              <w:numPr>
                <w:ilvl w:val="0"/>
                <w:numId w:val="91467954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Als Austrittskündigung (der kündigende Gesellschafter scheidet
aus, die GesbR wird unter den verbleibenden Gesellschaftern
fortgesetzt) oder</w:t>
            </w:r>
          </w:p>
          <w:p>
            <w:pPr>
              <w:numPr>
                <w:ilvl w:val="0"/>
                <w:numId w:val="91467954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Als Auflösungskündigung (die Kündigung durch einen
Gesellschafter bewirkt die Auflösung der Gesellschaft als einer
solchen)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gesetzlich vorgesehene Kündigung des Paragraphen 1209 ABGB
stellt eine Auflösungskündigung dar, welche die Auflösung der GesbR
als eines gesellschaftsrechtlichen Organisationskörpers zur Folge
hat. Wenn diese Konsequenz nicht gewünscht wird, sondern dem
Gesellschafter die Austrittskündigung eingeräumt werden soll, dann
muss dies im Gesellschaftsvertrag vorgesehen werden (beachten Sie
die Variantengestaltung im Vertragsmuster).</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441300" w:name="note9"/>
            <w:bookmarkEnd w:id="29441300"/>
            <w:bookmarkStart w:id="5287325247225" w:name="note9"/>
            <w:r>
              <w:rPr>
                <w:rFonts w:ascii="Arial" w:hAnsi="Arial" w:eastAsia="Arial" w:cs="Arial"/>
                <w:b/>
                <w:bCs/>
                <w:color w:val="000000"/>
                <w:position w:val="0"/>
                <w:sz w:val="20"/>
                <w:szCs w:val="20"/>
              </w:rPr>
              <w:t xml:space="preserve">[9]</w:t>
            </w:r>
            <w:bookmarkEnd w:id="52873252472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Gesellschaftsvermögen gehören das der Gesellschaft gewidmete
Eigentum, die sonstigen gesellschaftsbezogenen Sachenrechte, die
gesellschaftsbezogenen Vertragsverhältnisse, Forderungen und
Verbindlichkeiten und die gesellschaftsbezogenen
Immaterialgüterrechte sowie der jeweils daraus verschaffte Nutzen,
die daraus gewonnenen Früchte und alles, was anstelle bestehender
Vermögenswerte zufließt.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Vom Gesellschaftsvermögen zu unterscheiden ist das sonstige
Vermögen der einzelnen Gesellschafter. Gegen eine Forderung, die
zum Gesellschaftsvermögen gehört, kann der Schuldner nicht mit
einer ihm gegen einen einzelnen Gesellschafter zustehenden
Forderung aufrechnen.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Gesellschaftsvertrag stellt einen Titel für die Bildung und
den Erwerb von Gesellschaftsvermögen dar. Dessen Einbringung bedarf
der jeweils allgemein erforderlichen Übergabe oder Verfügung.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nach dem Gesellschaftsvertrag das ganze Vermögen
einzubringen ist, so ist darunter nur das gegenwärtige zu
verstehen. Soll aber auch das künftige Vermögen eingebracht werden,
so ist darunter nicht das geerbte oder das geschenkte zu
verstehen.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nichts anderes vereinbart ist, stehen körperliche Sachen,
die von Gesellschaftern in das Gesellschaftsvermögen übertragen
oder für das Gesellschaftsvermögen erworben worden sind, im
Miteigentum der Gesellschafter; unkörperliche Sachen, insbesondere
schuldrechtliche Forderungen, sind den Gesellschaftern zur gesamten
Hand zugeordnet.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Gesellschaftsvertrag können der Gesellschaft Sachen auch bloß
zum Gebrauch zur Verfügung gestellt oder im Innenverhältnis so
behandelt werden, als ob sie allen gemeinsam gehörten.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Einlagen der Gesellschafter kommen vermögenswerte Leistungen
(zB Geld als Bareinlage oder eine Maschine bzw ein Kraftfahrzeug
als Sacheinlage) in Betracht. Die Einbringung der Einlagen kann
erfolgen:</w:t>
            </w:r>
          </w:p>
          <w:p>
            <w:pPr>
              <w:numPr>
                <w:ilvl w:val="0"/>
                <w:numId w:val="60795631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dominium, das heißt dergestalt, dass die eingebrachten
Vermögensgegenstände in das Gesellschaftsvermögen (in das
Miteigentum der am Hauptstammt beteiligten Gesellschafter)
übergehen (Beispiel: der Gesellschafter Müller bringt seine
Kaffeemaschine quoad dominium ein; damit wird sie gemeinsames
Eigentum der Gesellschafter)</w:t>
            </w:r>
          </w:p>
          <w:p>
            <w:pPr>
              <w:numPr>
                <w:ilvl w:val="0"/>
                <w:numId w:val="60795631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usum, also so, dass der betreffende Gegenstand nicht ins
Miteigentum übertragen, sondern der Gesellschaft bloß zur Nutzung
überlassen wird (Beispiel: der Gesellschafter Müller bringt seine
Kaffeemaschine quoad usum ein; damit bleibt sie in seinem
alleinigen Eigentum, darf aber von der Gesellschaft genutzt
werden)</w:t>
            </w:r>
          </w:p>
          <w:p>
            <w:pPr>
              <w:numPr>
                <w:ilvl w:val="0"/>
                <w:numId w:val="60795631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sortem, was bedeutet, dass der betreffende Gegenstand
sachenrechtlich im alleinigen Eigentum des einbringenden
Gesellschafters verbleibt, aber intern (unter den Gesellschaftern)
so behandelt wird, als stünde er im Miteigentum der am Hauptstamm
beteiligten Gesellschafter (Beispiel: der Gesellschafter Müller
bringt seine Kaffeemaschine quoad sortem ein; da er sachenrechtlich
ihr Alleineigentümer bleibt, könnte er sie an einen Dritten
verkaufen, er darf dies jedoch ohne Zustimmung der übrigen
Gesellschafter nicht tun; tut er es trotzdem, so wird er
schadenersatzpflichtig)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Beitrag eines Gesellschafters kann sich auch auf die
Leistung von Diensten beschränken (Arbeitsgesellschafter). Einem
solchen Gesellschafter kann im Gesellschaftsvertrag eine
Beteiligungsquote zuerkannt werden, so als ob er einen
Kapitalanteil geleistet hätte. Andernfalls steht ihm für seine
Mitwirkung bloß ein angemessener Betrag des Jahresgewinns zu.</w:t>
            </w:r>
          </w:p>
          <w:p>
            <w:pPr>
              <w:widowControl w:val="on"/>
              <w:pBdr/>
              <w:spacing w:before="0" w:after="0" w:line="288" w:lineRule="auto"/>
              <w:ind w:left="0" w:right="0"/>
              <w:jc w:val="left"/>
              <w:textAlignment w:val="top"/>
            </w:pPr>
            <w:hyperlink w:anchor="link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3331297" w:name="note10"/>
            <w:bookmarkEnd w:id="63331297"/>
            <w:bookmarkStart w:id="8459716519287" w:name="note10"/>
            <w:r>
              <w:rPr>
                <w:rFonts w:ascii="Arial" w:hAnsi="Arial" w:eastAsia="Arial" w:cs="Arial"/>
                <w:b/>
                <w:bCs/>
                <w:color w:val="000000"/>
                <w:position w:val="0"/>
                <w:sz w:val="20"/>
                <w:szCs w:val="20"/>
              </w:rPr>
              <w:t xml:space="preserve">[10]</w:t>
            </w:r>
            <w:bookmarkEnd w:id="845971651928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Seit dem GesbR-Reformgesetz (also ab dem 01.01.2015) sind die
(grundsätzlich dispositiven, also durch Gesellschaftsvertrag
abänderbaren) gesetzlichen Regelungen betreffend die
Geschäftsführung bei der GesbR (vgl die §§ 1090 ff ABGB) an
jenen hinsichtlich der offenen Gesellschaft orientiert: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Steht die Geschäftsführung allen oder mehreren Gesellschaftern
zu, so ist im Rahmen der gewöhnlichen Geschäfte jeder von ihnen
allein zu handeln berechtigt („Einzelgeschäftsführungsbefugnis“);
widerspricht jedoch ein anderer geschäftsführender Gesellschafter
der Vornahme einer Handlung, so muss diese unterbleiben.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im Gesellschaftsvertrag bestimmt, dass die Gesellschafter,
denen die Geschäftsführung zusteht, nur zusammen handeln können
(„Gesamtgeschäftsführungsbefugnis“), so bedarf es für jedes
Geschäft der Zustimmung aller geschäftsführenden Gesellschafter, es
sei denn, dass Gefahr im Verzug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vereinbart, dass ein Gesellschafter an die Weisungen der
übrigen Gesellschafter gebunden sein soll, so kann dieser
Gesellschafter von den ihm erteilten Weisungen abweichen, wenn er
den Umständen nach annehmen darf, dass die übrigen Gesellschafter
bei Kenntnis der Sachlage die Abweichung billigen würden. Er hat
jedoch die Abweichung den übrigen Gesellschaftern anzuzeigen und
ihre Entscheidung abzuwarten, wenn nicht Gefahr im Verzug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Befugnis zur Geschäftsführung erstreckt sich auf alle
Handlungen, die der gewöhnliche Geschäftsbetrieb der Gesellschaft
mit sich bringt.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Vornahme von Handlungen, die darüber hinausgehen
(außergewöhnliche Geschäfte) ist ein einstimmiger Beschluss aller
Gesellschafter erforderlich.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Einräumung einer Vollmacht gem § 1008 bedarf es
der Zustimmung aller geschäftsführenden Gesellschafter, es sei
denn, dass Gefahr im Verzug ist. Der Widerruf einer solchen
Vollmacht kann von jedem der zur Erteilung oder zur Mitwirkung bei
der Erteilung befugten Gesellschafter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Gesellschafterbeschlüsse erfordern die Zustimmung aller zur
Mitwirkung bei der Beschlussfassung berufenen Gesellschafter.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Hat nach dem Gesellschaftsvertrag die Mehrheit der Stimmen zu
entscheiden, so bestimmt sie sich nach den abgegebenen gültigen
Stimmen. Das Stimmgewicht entspricht den Beteiligungsverhältnissen.
Sind nicht alle Gesellschafter am Kapital beteiligt, wird die
Mehrheit nach Köpfen berechnet. Arbeitsgesellschafter, denen der
Gesellschaftsvertrag einen am Wert ihrer Arbeit orientierten
Kapitalanteil zubilligt, gelten als am Kapital beteiligt.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(Festzuhalten ist, dass zur Geschäftsführung nicht jene
Angelegenheiten zählen, die die Grundlagen der GesbR bzw die
Beziehungen der Gesellschafter untereinander betreffen [zB eine
Änderung des Gesellschaftsvertrages]; bezüglich dieser so genannten
„Grundlagengeschäfte“ können Maßnahmen nur einstimmig getroffen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empfiehlt sich, im Gesellschaftsvertrag für den konkreten
Fall sinnvolle Vereinbarungen zu treffen; vorstellbar wären
beispielsweise</w:t>
            </w:r>
          </w:p>
          <w:p>
            <w:pPr>
              <w:numPr>
                <w:ilvl w:val="0"/>
                <w:numId w:val="5284002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selbstständige Setzung von Geschäftsführungshandlungen
durch jeden der Gesellschafter,</w:t>
            </w:r>
          </w:p>
          <w:p>
            <w:pPr>
              <w:numPr>
                <w:ilvl w:val="0"/>
                <w:numId w:val="5284002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gemeinsame Setzung von Geschäftsführungshandlungen durch
alle oder mehrere Gesellschafter oder auch</w:t>
            </w:r>
          </w:p>
          <w:p>
            <w:pPr>
              <w:numPr>
                <w:ilvl w:val="0"/>
                <w:numId w:val="5284002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Einräumung der Geschäftsführungsbefugnis an einen
Gesellschafter allein.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im hiergegenständlichen Musterfall – technisch gesehen – drei
an sich selbstständige Gastronomen in einem bestimmten Bereich
gesellschaftlich organisiert zusammenarbeiten sollen und diese
Zusammenarbeit faktisch „nebenbei“ im Rahmen der jeweils eigenen
Betriebsstruktur erfolgen wird, schlägt das Vertragsmuster eine
Vereinbarung (Textvariante) vor, nach welcher</w:t>
            </w:r>
          </w:p>
          <w:p>
            <w:pPr>
              <w:numPr>
                <w:ilvl w:val="0"/>
                <w:numId w:val="42721157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 den gewöhnlichen Angelegenheiten jeder Gesellschafter
einzeln zur Entscheidung befugt ist,</w:t>
            </w:r>
          </w:p>
          <w:p>
            <w:pPr>
              <w:numPr>
                <w:ilvl w:val="0"/>
                <w:numId w:val="42721157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während in den außergewöhnlichen Angelegenheiten nur alle
Gesellschafter gemeinsam durch einstimmigen Beschluss entscheiden
dürfen.</w:t>
            </w:r>
          </w:p>
          <w:p>
            <w:pPr>
              <w:widowControl w:val="on"/>
              <w:pBdr/>
              <w:spacing w:before="0" w:after="0" w:line="288" w:lineRule="auto"/>
              <w:ind w:left="0" w:right="0"/>
              <w:jc w:val="left"/>
              <w:textAlignment w:val="top"/>
            </w:pPr>
            <w:hyperlink w:anchor="link1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060408" w:name="note11"/>
            <w:bookmarkEnd w:id="55060408"/>
            <w:bookmarkStart w:id="5245186471584" w:name="note11"/>
            <w:r>
              <w:rPr>
                <w:rFonts w:ascii="Arial" w:hAnsi="Arial" w:eastAsia="Arial" w:cs="Arial"/>
                <w:b/>
                <w:bCs/>
                <w:color w:val="000000"/>
                <w:position w:val="0"/>
                <w:sz w:val="20"/>
                <w:szCs w:val="20"/>
              </w:rPr>
              <w:t xml:space="preserve">[11]</w:t>
            </w:r>
            <w:bookmarkEnd w:id="524518647158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geschäftsführender Gesellschafter ist nach dem Gesetz (vgl
§ 1194 ABGB) verpflichtet, jedem anderen Gesellschafter die
erforderlichen Nachrichten zu geben, auf Verlangen über den Stand
der Geschäfte Auskunft zu erteilen und Rechenschaft abzulegen.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Gesellschafter kann sich, auch wenn er von der
Geschäftsführung ausgeschlossen ist, von den Angelegenheiten der
Gesellschaft persönlich unterrichten, die Aufzeichnungen der
Gesellschaft einsehen und sich aus ihnen eine Abrechnung anfertigen
oder die Vorlage einer solchen Abrechnung fordern.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Vereinbarung, durch die dieses Recht ausgeschlossen oder
beschränkt wird, ist unwirksam.</w:t>
            </w:r>
          </w:p>
          <w:p>
            <w:pPr>
              <w:widowControl w:val="on"/>
              <w:pBdr/>
              <w:spacing w:before="0" w:after="0" w:line="288" w:lineRule="auto"/>
              <w:ind w:left="0" w:right="0"/>
              <w:jc w:val="left"/>
              <w:textAlignment w:val="top"/>
            </w:pPr>
            <w:hyperlink w:anchor="link1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9258763" w:name="note12"/>
            <w:bookmarkEnd w:id="69258763"/>
            <w:bookmarkStart w:id="7600331869226" w:name="note12"/>
            <w:r>
              <w:rPr>
                <w:rFonts w:ascii="Arial" w:hAnsi="Arial" w:eastAsia="Arial" w:cs="Arial"/>
                <w:b/>
                <w:bCs/>
                <w:color w:val="000000"/>
                <w:position w:val="0"/>
                <w:sz w:val="20"/>
                <w:szCs w:val="20"/>
              </w:rPr>
              <w:t xml:space="preserve">[12]</w:t>
            </w:r>
            <w:bookmarkEnd w:id="760033186922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Gesetz orientiert sich bei der – grundsätzlich dispositiven
– Regelung an jener für die Offene Gesellschaft: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Am Schluss jedes Geschäftsjahres wird aufgrund einer
Jahresabrechnung der Gewinn oder Verlust ermittelt und der Anteil
jedes Gesellschafters daran berechnet.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Sofern alle Gesellschafter in gleichem Ausmaß zur Mitwirkung
verpflichtet sind, wird der Gewinn und Verlust eines
Geschäftsjahres den Gesellschaftern im Verhältnis ihrer
Kapitalanteile zugewiesen. Enthält der Gesellschaftsvertrag eine
abweichende Bestimmung nur über den Anteil am Gewinn oder über den
Anteil am Verlust, so gilt sie im Zweifel für Gewinn und
Verlust.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die Gesellschafter nicht in gleichem Ausmaß zur Mitwirkung
verpflichtet, so ist dies bei der Zuweisung des Gewinns angemessen
zu berücksichtigen.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Einem Arbeitsgesellschafter, dem für seine Dienste keine
Beteiligung an der Gesellschaft gewährt wird, ist ein den Umständen
nach angemessener Betrag des Jahresgewinns zuzuweisen. Der diesen
Betrag übersteigende Teil des Jahresgewinns wird sodann den
Gesellschaftern im Verhältnis ihrer Beteiligung zugewiesen.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Gesellschafter hat Anspruch auf Auszahlung seines
Gewinnanteils. Der Anspruch kann nicht geltend gemacht werden,
soweit die Auszahlung zum offenbaren Schaden der Gesellschaft
gereicht, die Gesellschafter etwas anderes beschließen oder der
Gesellschafter vereinbarungswidrig seine Einlage nicht geleistet
hat.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Übrigen ist ein Gesellschafter nicht befugt, ohne
Einwilligung der anderen Gesellschafter Entnahmen zu tätigen.</w:t>
            </w:r>
          </w:p>
          <w:p>
            <w:pPr>
              <w:widowControl w:val="on"/>
              <w:pBdr/>
              <w:spacing w:before="0" w:after="0" w:line="288" w:lineRule="auto"/>
              <w:ind w:left="0" w:right="0"/>
              <w:jc w:val="left"/>
              <w:textAlignment w:val="top"/>
            </w:pPr>
            <w:hyperlink w:anchor="link1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533902" w:name="note13"/>
            <w:bookmarkEnd w:id="70533902"/>
            <w:bookmarkStart w:id="7878853422474" w:name="note13"/>
            <w:r>
              <w:rPr>
                <w:rFonts w:ascii="Arial" w:hAnsi="Arial" w:eastAsia="Arial" w:cs="Arial"/>
                <w:b/>
                <w:bCs/>
                <w:color w:val="000000"/>
                <w:position w:val="0"/>
                <w:sz w:val="20"/>
                <w:szCs w:val="20"/>
              </w:rPr>
              <w:t xml:space="preserve">[13]</w:t>
            </w:r>
            <w:bookmarkEnd w:id="78788534224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Was die Frage der Vertretung der GesbR im Außenverhältnis
(gegenüber Dritten) angeht, sei der Ordnung halber ausdrücklich
vermerkt, dass von einem Außenverhältnis „der GesbR“ nur mit
Einschränkungen gesprochen werden kann: Da die GesbR nicht
rechtsfähig ist, können Träger der Rechte und Pflichten gegenüber
Dritten nur die Gesellschafter sein, und nur sie können klagen oder
geklagt werden. Als Außenverhältnis der GesbR ist daher jene Sphäre
anzusehen, in der die Gesellschafter in dieser ihrer Eigenschaft
(und nicht als Privatpersonen) agieren.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Außengesellschaften enthält das Gesetz eigene
Vertretungsbestimmungen (vgl § 1197 ABGB); da es sich hier um
einen Bereich der Außenwirkung handelt und somit die berechtigten
Interessen gutgläubiger Dritter geschützt werden müssen, sind die
Regelungen grundsätzlich zwingend (nicht durch den
Gesellschaftsvertrag zum nachteil des dritten abänderbar).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der Gesellschaftsvertrag einer Außengesellschaft nichts
anderes vorsieht, deckt sich die Befugnis zur Vertretung aller
Gesellschafter in Gesellschaftsangelegenheiten mit der Befugnis zur
Geschäftsführung.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einer unternehmerisch tätigen Außengesellschaft werden alle
Gesellschafter aus dem Handeln eines Gesellschafters im Namen der
Gesellschaft auch dann berechtigt und verpflichtet, wenn dieser
Gesellschafter nicht, nicht allein oder nur beschränkt
vertretungsbefugt war, der Dritte den Mangel der
Vertretungsbefugnis aber weder kannte noch kennen musste. Dasselbe
gilt für nicht unternehmerisch tätige Außengesellschaften, wenn
sich die Gesellschafter als Unternehmer an der Gesellschaft
beteiligen.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Gesamtvertretung genügt die Abgabe einer
gesellschaftsbezogenen Willenserklärung gegenüber einem der zur
Mitwirkung an der Vertretung befugten Gesellschafter (passive
Einzelvertretung).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ohne Gesellschafter zu sein, mit der Vertretung in
Gesellschaftsangelegenheiten betraut wird, vertritt die
Gesellschafter nach Maßgabe der erteilten Vollmacht.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Vertretungsmacht kann einem Gesellschafter aufgrund einer
Klage aller übrigen Gesellschafter durch gerichtliche Entscheidung
entzogen werden, wenn ein wichtiger Grund vorliegt; ein solcher
Grund ist insbesondere grobe Pflichtverletzung oder Unfähigkeit zur
ordnungsgemäßen Vertretung der Gesellschaft.</w:t>
            </w:r>
          </w:p>
          <w:p>
            <w:pPr>
              <w:widowControl w:val="on"/>
              <w:pBdr/>
              <w:spacing w:before="0" w:after="0" w:line="288" w:lineRule="auto"/>
              <w:ind w:left="0" w:right="0"/>
              <w:jc w:val="left"/>
              <w:textAlignment w:val="top"/>
            </w:pPr>
            <w:hyperlink w:anchor="link1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269229" w:name="note14"/>
            <w:bookmarkEnd w:id="43269229"/>
            <w:bookmarkStart w:id="5894548572941" w:name="note14"/>
            <w:r>
              <w:rPr>
                <w:rFonts w:ascii="Arial" w:hAnsi="Arial" w:eastAsia="Arial" w:cs="Arial"/>
                <w:b/>
                <w:bCs/>
                <w:color w:val="000000"/>
                <w:position w:val="0"/>
                <w:sz w:val="20"/>
                <w:szCs w:val="20"/>
              </w:rPr>
              <w:t xml:space="preserve">[14]</w:t>
            </w:r>
            <w:bookmarkEnd w:id="58945485729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gesellschaftsbezogene Verbindlichkeiten gegenüber Dritten
haften die Gesellschafter gem § 1199 ABGB als
Gesamtschuldner, wenn mit diesen nichts anderes vereinbart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 Rechtsgeschäften, die ein Gesellschafter auf Rechnung der
Gesellschaft, aber im eigenen Namen abschließt, wird er allein dem
Dritten gegenüber berechtigt und verpflichtet.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ein Gesellschafter wegen einer gesellschaftsbezogenen
Verbindlichkeit in Anspruch genommen, so kann er Einwendungen, die
nicht in seiner Person begründet sind, nur insoweit geltend machen,
als sie von den Gesellschaftern gemeinsam erhoben werden
können.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Gesellschafter kann die Befriedigung des Gläubigers
verweigern, solange den Gesellschaftern gemeinsam das Recht
zusteht, das ihrer Verbindlichkeit zugrunde liegende Rechtsgeschäft
anzufechten oder ihre Verbindlichkeit durch Aufrechnung mit einer
fälligen Forderung zu erfüllen.</w:t>
            </w:r>
          </w:p>
          <w:p>
            <w:pPr>
              <w:widowControl w:val="on"/>
              <w:pBdr/>
              <w:spacing w:before="0" w:after="0" w:line="288" w:lineRule="auto"/>
              <w:ind w:left="0" w:right="0"/>
              <w:jc w:val="left"/>
              <w:textAlignment w:val="top"/>
            </w:pPr>
            <w:hyperlink w:anchor="link1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521457" w:name="note15"/>
            <w:bookmarkEnd w:id="93521457"/>
            <w:bookmarkStart w:id="1345885319037" w:name="note15"/>
            <w:r>
              <w:rPr>
                <w:rFonts w:ascii="Arial" w:hAnsi="Arial" w:eastAsia="Arial" w:cs="Arial"/>
                <w:b/>
                <w:bCs/>
                <w:color w:val="000000"/>
                <w:position w:val="0"/>
                <w:sz w:val="20"/>
                <w:szCs w:val="20"/>
              </w:rPr>
              <w:t xml:space="preserve">[15]</w:t>
            </w:r>
            <w:bookmarkEnd w:id="134588531903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Gesellschafter dürfen gem § 1187 ABGB kein der
Gesellschaft schädliches Nebengeschäft unternehmen. Für
unternehmerisch tätige Gesellschaften gelten überdies die
unternehmensrechtlichen Vorschriften über Wettbewerbsverbote und
deren Rechtsfolgen. Die Verletzung des Verbotes, ein schädliches
Nebengeschäft zu unternehmen, begründet einen Anspruch der
Gesellschaft bzw der Mitgesellschaft auf Unterlassung und bei
Verschulden auf Schadenersatz. Jedenfalls verboten sind solche
Geschäfte, durch die der Zweck der Gesellschaft beeinträchtigt
wird. Aus dem Verbot gesellschaftsschädlicher Nebengeschäfte kann
nicht abgeleitet werden, dass die Gesellschafter trotz Fehlens
einer entsprechenden Vereinbarung auch noch nach Auflösung der
Gesellschaft einem Konkurrenzverbot unterliegen (OGH 29.10.1996, 4
Ob 2275/96d).</w:t>
            </w:r>
          </w:p>
          <w:p>
            <w:pPr>
              <w:widowControl w:val="on"/>
              <w:pBdr/>
              <w:spacing w:before="0" w:after="0" w:line="288" w:lineRule="auto"/>
              <w:ind w:left="0" w:right="0"/>
              <w:jc w:val="left"/>
              <w:textAlignment w:val="top"/>
            </w:pPr>
            <w:hyperlink w:anchor="link1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21157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284002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795631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1467954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53096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079120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5433588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55984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685001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630854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1968157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05625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023582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90439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623758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942986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520173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8280734">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136113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9911723">
    <w:multiLevelType w:val="hybridMultilevel"/>
    <w:lvl w:ilvl="0" w:tplc="25610966">
      <w:start w:val="1"/>
      <w:numFmt w:val="decimal"/>
      <w:lvlText w:val="%1."/>
      <w:lvlJc w:val="left"/>
      <w:pPr>
        <w:ind w:left="720" w:hanging="360"/>
      </w:pPr>
    </w:lvl>
    <w:lvl w:ilvl="1" w:tplc="25610966" w:tentative="1">
      <w:start w:val="1"/>
      <w:numFmt w:val="lowerLetter"/>
      <w:lvlText w:val="%2."/>
      <w:lvlJc w:val="left"/>
      <w:pPr>
        <w:ind w:left="1440" w:hanging="360"/>
      </w:pPr>
    </w:lvl>
    <w:lvl w:ilvl="2" w:tplc="25610966" w:tentative="1">
      <w:start w:val="1"/>
      <w:numFmt w:val="lowerRoman"/>
      <w:lvlText w:val="%3."/>
      <w:lvlJc w:val="right"/>
      <w:pPr>
        <w:ind w:left="2160" w:hanging="180"/>
      </w:pPr>
    </w:lvl>
    <w:lvl w:ilvl="3" w:tplc="25610966" w:tentative="1">
      <w:start w:val="1"/>
      <w:numFmt w:val="decimal"/>
      <w:lvlText w:val="%4."/>
      <w:lvlJc w:val="left"/>
      <w:pPr>
        <w:ind w:left="2880" w:hanging="360"/>
      </w:pPr>
    </w:lvl>
    <w:lvl w:ilvl="4" w:tplc="25610966" w:tentative="1">
      <w:start w:val="1"/>
      <w:numFmt w:val="lowerLetter"/>
      <w:lvlText w:val="%5."/>
      <w:lvlJc w:val="left"/>
      <w:pPr>
        <w:ind w:left="3600" w:hanging="360"/>
      </w:pPr>
    </w:lvl>
    <w:lvl w:ilvl="5" w:tplc="25610966" w:tentative="1">
      <w:start w:val="1"/>
      <w:numFmt w:val="lowerRoman"/>
      <w:lvlText w:val="%6."/>
      <w:lvlJc w:val="right"/>
      <w:pPr>
        <w:ind w:left="4320" w:hanging="180"/>
      </w:pPr>
    </w:lvl>
    <w:lvl w:ilvl="6" w:tplc="25610966" w:tentative="1">
      <w:start w:val="1"/>
      <w:numFmt w:val="decimal"/>
      <w:lvlText w:val="%7."/>
      <w:lvlJc w:val="left"/>
      <w:pPr>
        <w:ind w:left="5040" w:hanging="360"/>
      </w:pPr>
    </w:lvl>
    <w:lvl w:ilvl="7" w:tplc="25610966" w:tentative="1">
      <w:start w:val="1"/>
      <w:numFmt w:val="lowerLetter"/>
      <w:lvlText w:val="%8."/>
      <w:lvlJc w:val="left"/>
      <w:pPr>
        <w:ind w:left="5760" w:hanging="360"/>
      </w:pPr>
    </w:lvl>
    <w:lvl w:ilvl="8" w:tplc="25610966" w:tentative="1">
      <w:start w:val="1"/>
      <w:numFmt w:val="lowerRoman"/>
      <w:lvlText w:val="%9."/>
      <w:lvlJc w:val="right"/>
      <w:pPr>
        <w:ind w:left="6480" w:hanging="180"/>
      </w:pPr>
    </w:lvl>
  </w:abstractNum>
  <w:abstractNum w:abstractNumId="29911722">
    <w:multiLevelType w:val="hybridMultilevel"/>
    <w:lvl w:ilvl="0" w:tplc="617832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911722">
    <w:abstractNumId w:val="29911722"/>
  </w:num>
  <w:num w:numId="29911723">
    <w:abstractNumId w:val="29911723"/>
  </w:num>
  <w:num w:numId="901361135">
    <w:abstractNumId w:val="901361135"/>
  </w:num>
  <w:num w:numId="388280734">
    <w:abstractNumId w:val="388280734"/>
  </w:num>
  <w:num w:numId="465201735">
    <w:abstractNumId w:val="465201735"/>
  </w:num>
  <w:num w:numId="939429861">
    <w:abstractNumId w:val="939429861"/>
  </w:num>
  <w:num w:numId="362375867">
    <w:abstractNumId w:val="362375867"/>
  </w:num>
  <w:num w:numId="109043913">
    <w:abstractNumId w:val="109043913"/>
  </w:num>
  <w:num w:numId="470235829">
    <w:abstractNumId w:val="470235829"/>
  </w:num>
  <w:num w:numId="280562508">
    <w:abstractNumId w:val="280562508"/>
  </w:num>
  <w:num w:numId="819681574">
    <w:abstractNumId w:val="819681574"/>
  </w:num>
  <w:num w:numId="396308541">
    <w:abstractNumId w:val="396308541"/>
  </w:num>
  <w:num w:numId="768500118">
    <w:abstractNumId w:val="768500118"/>
  </w:num>
  <w:num w:numId="555598452">
    <w:abstractNumId w:val="555598452"/>
  </w:num>
  <w:num w:numId="754335887">
    <w:abstractNumId w:val="754335887"/>
  </w:num>
  <w:num w:numId="210791207">
    <w:abstractNumId w:val="210791207"/>
  </w:num>
  <w:num w:numId="445309679">
    <w:abstractNumId w:val="445309679"/>
  </w:num>
  <w:num w:numId="914679543">
    <w:abstractNumId w:val="914679543"/>
  </w:num>
  <w:num w:numId="607956317">
    <w:abstractNumId w:val="607956317"/>
  </w:num>
  <w:num w:numId="528400212">
    <w:abstractNumId w:val="528400212"/>
  </w:num>
  <w:num w:numId="427211574">
    <w:abstractNumId w:val="4272115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4944022" Type="http://schemas.openxmlformats.org/officeDocument/2006/relationships/numbering" Target="numbering.xml"/><Relationship Id="rId13449657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