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30997850" w:name="document"/>
    <w:bookmarkEnd w:id="30997850"/>
    <w:p/>
    <w:p>
      <w:pPr>
        <w:widowControl w:val="on"/>
        <w:pBdr/>
        <w:spacing w:before="0" w:after="280" w:line="240" w:lineRule="auto"/>
        <w:ind w:left="0" w:right="0"/>
        <w:jc w:val="left"/>
      </w:pPr>
      <w:r>
        <w:rPr>
          <w:rFonts w:ascii="Arial" w:hAnsi="Arial" w:eastAsia="Arial" w:cs="Arial"/>
          <w:color w:val="363A40"/>
          <w:sz w:val="24"/>
          <w:szCs w:val="24"/>
        </w:rPr>
        <w:t xml:space="preserve">Dokument-ID: 716545 | Georg Prchlik - Albert
Scherzer | Muster | Vertragsmuster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Vertrag einer unternehmerisch tätigen GesbR (in Anlehnung an
dispositives Recht idF durch das GesbR-Reformgesetz)</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Gesellschaftsvertrag der
„Mausefalle“ Nachtklub-Betriebs-GesbR</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Inhaltsverzeichnis</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Präambel</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II.</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Parteien des Vertrages</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III.</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Erklärung der Vergesellschaftung</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IV.</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Bezeichnung (Name) der Gesellschaft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Sitz der Gesellschaft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VI.</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Gegenstand des Unternehmens</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VII.</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Dauer der Gesellschaft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VIII.</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Vermögen der Gesellschaft/Kapitaleinlagen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IX.</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Geschäftsführung</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X.</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Kontrollrechte der Gesellschafter</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XI.</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Verteilung von Gewinn und Verlust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XII.</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Vertretung</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XIII.</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Haftung</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XIV.</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Konkurrenzverbot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XV.</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Sonstiges</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
Präambel</w:t>
      </w:r>
      <w:bookmarkStart w:id="97063149" w:name="link2"/>
      <w:bookmarkEnd w:id="97063149"/>
      <w:hyperlink w:anchor="note2" w:history="1">
        <w:r>
          <w:rPr>
            <w:rFonts w:ascii="Arial" w:hAnsi="Arial" w:eastAsia="Arial" w:cs="Arial"/>
            <w:b/>
            <w:bCs/>
            <w:color w:val="006BB6"/>
            <w:position w:val="6"/>
            <w:sz w:val="31"/>
            <w:szCs w:val="31"/>
            <w:vertAlign w:val="superscript"/>
          </w:rPr>
          <w:t xml:space="preserve">2</w:t>
        </w:r>
      </w:hyperlink>
    </w:p>
    <w:p>
      <w:pPr>
        <w:widowControl w:val="on"/>
        <w:pBdr/>
        <w:spacing w:before="140" w:after="240" w:line="288" w:lineRule="auto"/>
        <w:ind w:left="0" w:right="0"/>
        <w:jc w:val="left"/>
      </w:pPr>
      <w:r>
        <w:rPr>
          <w:rFonts w:ascii="Arial" w:hAnsi="Arial" w:eastAsia="Arial" w:cs="Arial"/>
          <w:color w:val="000000"/>
          <w:sz w:val="20"/>
          <w:szCs w:val="20"/>
        </w:rPr>
        <w:t xml:space="preserve">Festgehalten wird, dass alle Parteien des vorliegenden Vertrages
jeweils Inhaber einer Gewerbeberechtigung für das reglementierte
Gewerbe „Gastgewerbe“ iSd § 94 Z 26 der Gewerbeordnung
sind und jeweils ein renommiertes Gastronomieunternehmen in der
Stadt Wien betreiben.</w:t>
      </w:r>
    </w:p>
    <w:p>
      <w:pPr>
        <w:widowControl w:val="on"/>
        <w:pBdr/>
        <w:spacing w:before="140" w:after="240" w:line="288" w:lineRule="auto"/>
        <w:ind w:left="0" w:right="0"/>
        <w:jc w:val="left"/>
      </w:pPr>
      <w:r>
        <w:rPr>
          <w:rFonts w:ascii="Arial" w:hAnsi="Arial" w:eastAsia="Arial" w:cs="Arial"/>
          <w:color w:val="000000"/>
          <w:sz w:val="20"/>
          <w:szCs w:val="20"/>
        </w:rPr>
        <w:t xml:space="preserve">Die Parteien beabsichtigen, eine gemeinsame Tätigkeit durch den
Betrieb eines Nachtklubs zu entfalten, wobei diese Tätigkeit im
Rahmen einer Gesellschaft bürgerlichen Rechts ausgeübt werden soll,
deren rechtlicher Rahmen hiermit in diesem Vertrag festgehalten
wird.</w:t>
      </w:r>
    </w:p>
    <w:p>
      <w:pPr>
        <w:widowControl w:val="on"/>
        <w:pBdr/>
        <w:spacing w:before="140" w:after="240" w:line="288" w:lineRule="auto"/>
        <w:ind w:left="0" w:right="0"/>
        <w:jc w:val="left"/>
      </w:pPr>
      <w:r>
        <w:rPr>
          <w:rFonts w:ascii="Arial" w:hAnsi="Arial" w:eastAsia="Arial" w:cs="Arial"/>
          <w:color w:val="000000"/>
          <w:sz w:val="20"/>
          <w:szCs w:val="20"/>
        </w:rPr>
        <w:t xml:space="preserve">Die Unterzeichnenden sind überzeugt von der Kraft der
Zusammenarbeit und dem gemeinsamen Streben nach unternehmerischem
Erfolg. In Anerkennung der gemeinsamen Ziele und unserer
gegenseitigen Verantwortung füreinander und für die Gesellschaft
entscheiden wir uns zur Gründung einer Gesellschaft bürgerlichen
Rechts (GesbR) gemäß den Bestimmungen des österreichischen
Rechts.</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
Parteien des Vertrages</w:t>
      </w:r>
      <w:bookmarkStart w:id="72277573" w:name="link3"/>
      <w:bookmarkEnd w:id="72277573"/>
      <w:hyperlink w:anchor="note3" w:history="1">
        <w:r>
          <w:rPr>
            <w:rFonts w:ascii="Arial" w:hAnsi="Arial" w:eastAsia="Arial" w:cs="Arial"/>
            <w:b/>
            <w:bCs/>
            <w:color w:val="006BB6"/>
            <w:position w:val="6"/>
            <w:sz w:val="31"/>
            <w:szCs w:val="31"/>
            <w:vertAlign w:val="superscript"/>
          </w:rPr>
          <w:t xml:space="preserve">3</w:t>
        </w:r>
      </w:hyperlink>
    </w:p>
    <w:p>
      <w:pPr>
        <w:widowControl w:val="on"/>
        <w:pBdr/>
        <w:spacing w:before="140" w:after="240" w:line="288" w:lineRule="auto"/>
        <w:ind w:left="0" w:right="0"/>
        <w:jc w:val="left"/>
      </w:pPr>
      <w:r>
        <w:rPr>
          <w:rFonts w:ascii="Arial" w:hAnsi="Arial" w:eastAsia="Arial" w:cs="Arial"/>
          <w:color w:val="000000"/>
          <w:sz w:val="20"/>
          <w:szCs w:val="20"/>
        </w:rPr>
        <w:t xml:space="preserve">Parteien des vorliegenden Vertrages (Gesellschafter der
vertragsgegenständlichen Gesellschaft bürgerlichen Rechts) sind</w:t>
      </w:r>
    </w:p>
    <w:p>
      <w:pPr>
        <w:numPr>
          <w:ilvl w:val="0"/>
          <w:numId w:val="89516728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Herr Kunibert Kochlöffel, Restaurantstraße 42, A-1020
Wien,</w:t>
      </w:r>
    </w:p>
    <w:p>
      <w:pPr>
        <w:numPr>
          <w:ilvl w:val="0"/>
          <w:numId w:val="89516728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Herr Berthold Bratpfanne, Heurigengasse 25, A-1180 Wien
sowie</w:t>
      </w:r>
    </w:p>
    <w:p>
      <w:pPr>
        <w:numPr>
          <w:ilvl w:val="0"/>
          <w:numId w:val="89516728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Herr Sebastian Sektflöte, Champagnerweg 12, A-1010 Wien.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III.
Erklärung der Vergesellschaftung</w:t>
      </w:r>
      <w:bookmarkStart w:id="27723763" w:name="link4"/>
      <w:bookmarkEnd w:id="27723763"/>
      <w:hyperlink w:anchor="note4" w:history="1">
        <w:r>
          <w:rPr>
            <w:rFonts w:ascii="Arial" w:hAnsi="Arial" w:eastAsia="Arial" w:cs="Arial"/>
            <w:b/>
            <w:bCs/>
            <w:color w:val="006BB6"/>
            <w:position w:val="6"/>
            <w:sz w:val="31"/>
            <w:szCs w:val="31"/>
            <w:vertAlign w:val="superscript"/>
          </w:rPr>
          <w:t xml:space="preserve">4</w:t>
        </w:r>
      </w:hyperlink>
    </w:p>
    <w:p>
      <w:pPr>
        <w:widowControl w:val="on"/>
        <w:pBdr/>
        <w:spacing w:before="140" w:after="240" w:line="288" w:lineRule="auto"/>
        <w:ind w:left="0" w:right="0"/>
        <w:jc w:val="left"/>
      </w:pPr>
      <w:r>
        <w:rPr>
          <w:rFonts w:ascii="Arial" w:hAnsi="Arial" w:eastAsia="Arial" w:cs="Arial"/>
          <w:color w:val="000000"/>
          <w:sz w:val="20"/>
          <w:szCs w:val="20"/>
        </w:rPr>
        <w:t xml:space="preserve">Die Parteien des vorliegenden Vertrages erklären, durch
Abschluss dieses Vertrages eine Gesellschaft bürgerlichen Rechts
iSd §§ 1175 ff Allgemeines bürgerliches Gesetzbuch (ABGB), im
Folgenden: „Gesellschaft“, zu gründen.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IV.
Bezeichnung (Name der Gesellschaft)</w:t>
      </w:r>
      <w:bookmarkStart w:id="64563056" w:name="link5"/>
      <w:bookmarkEnd w:id="64563056"/>
      <w:hyperlink w:anchor="note5" w:history="1">
        <w:r>
          <w:rPr>
            <w:rFonts w:ascii="Arial" w:hAnsi="Arial" w:eastAsia="Arial" w:cs="Arial"/>
            <w:b/>
            <w:bCs/>
            <w:color w:val="006BB6"/>
            <w:position w:val="6"/>
            <w:sz w:val="31"/>
            <w:szCs w:val="31"/>
            <w:vertAlign w:val="superscript"/>
          </w:rPr>
          <w:t xml:space="preserve">5</w:t>
        </w:r>
      </w:hyperlink>
    </w:p>
    <w:p>
      <w:pPr>
        <w:widowControl w:val="on"/>
        <w:pBdr/>
        <w:spacing w:before="140" w:after="240" w:line="288" w:lineRule="auto"/>
        <w:ind w:left="0" w:right="0"/>
        <w:jc w:val="left"/>
      </w:pPr>
      <w:r>
        <w:rPr>
          <w:rFonts w:ascii="Arial" w:hAnsi="Arial" w:eastAsia="Arial" w:cs="Arial"/>
          <w:color w:val="000000"/>
          <w:sz w:val="20"/>
          <w:szCs w:val="20"/>
        </w:rPr>
        <w:t xml:space="preserve">Die Gesellschaft ist als Außengesellschaft konzipiert und tritt
unter der Bezeichnung (dem Namen) „Mausefalle
Nachtklub-Betriebs-GesbR“ auf. Die Gesellschaft soll Dritten
gegenüber unmittelbar auftreten.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 Sitz
der Gesellschaft</w:t>
      </w:r>
      <w:bookmarkStart w:id="58116845" w:name="link6"/>
      <w:bookmarkEnd w:id="58116845"/>
      <w:hyperlink w:anchor="note6" w:history="1">
        <w:r>
          <w:rPr>
            <w:rFonts w:ascii="Arial" w:hAnsi="Arial" w:eastAsia="Arial" w:cs="Arial"/>
            <w:b/>
            <w:bCs/>
            <w:color w:val="006BB6"/>
            <w:position w:val="6"/>
            <w:sz w:val="31"/>
            <w:szCs w:val="31"/>
            <w:vertAlign w:val="superscript"/>
          </w:rPr>
          <w:t xml:space="preserve">6</w:t>
        </w:r>
      </w:hyperlink>
    </w:p>
    <w:p>
      <w:pPr>
        <w:widowControl w:val="on"/>
        <w:pBdr/>
        <w:spacing w:before="140" w:after="240" w:line="288" w:lineRule="auto"/>
        <w:ind w:left="0" w:right="0"/>
        <w:jc w:val="left"/>
      </w:pPr>
      <w:r>
        <w:rPr>
          <w:rFonts w:ascii="Arial" w:hAnsi="Arial" w:eastAsia="Arial" w:cs="Arial"/>
          <w:color w:val="000000"/>
          <w:sz w:val="20"/>
          <w:szCs w:val="20"/>
        </w:rPr>
        <w:t xml:space="preserve">Die Gesellschaft hat ihren Sitz in A-1020 Wien, Restaurantstraße
42.</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VI.
Gegenstand des Unternehmens</w:t>
      </w:r>
      <w:bookmarkStart w:id="5332339" w:name="link7"/>
      <w:bookmarkEnd w:id="5332339"/>
      <w:hyperlink w:anchor="note7" w:history="1">
        <w:r>
          <w:rPr>
            <w:rFonts w:ascii="Arial" w:hAnsi="Arial" w:eastAsia="Arial" w:cs="Arial"/>
            <w:b/>
            <w:bCs/>
            <w:color w:val="006BB6"/>
            <w:position w:val="6"/>
            <w:sz w:val="31"/>
            <w:szCs w:val="31"/>
            <w:vertAlign w:val="superscript"/>
          </w:rPr>
          <w:t xml:space="preserve">7</w:t>
        </w:r>
      </w:hyperlink>
    </w:p>
    <w:p>
      <w:pPr>
        <w:widowControl w:val="on"/>
        <w:pBdr/>
        <w:spacing w:before="140" w:after="240" w:line="288" w:lineRule="auto"/>
        <w:ind w:left="0" w:right="0"/>
        <w:jc w:val="left"/>
      </w:pPr>
      <w:r>
        <w:rPr>
          <w:rFonts w:ascii="Arial" w:hAnsi="Arial" w:eastAsia="Arial" w:cs="Arial"/>
          <w:color w:val="000000"/>
          <w:sz w:val="20"/>
          <w:szCs w:val="20"/>
        </w:rPr>
        <w:t xml:space="preserve">Zum Gegenstand des Unternehmens gehören</w:t>
      </w:r>
    </w:p>
    <w:p>
      <w:pPr>
        <w:numPr>
          <w:ilvl w:val="0"/>
          <w:numId w:val="82200646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Betrieb eines Gastronomie-Etablissements in der Form eines
Nachtklubs sowie</w:t>
      </w:r>
    </w:p>
    <w:p>
      <w:pPr>
        <w:numPr>
          <w:ilvl w:val="0"/>
          <w:numId w:val="82200646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alle mit diesem Betrieb verbundenen Tätigkeiten (wie
insbesondere Marketingmaßnahmen).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VII.
Dauer der Gesellschaft</w:t>
      </w:r>
      <w:bookmarkStart w:id="57333761" w:name="link8"/>
      <w:bookmarkEnd w:id="57333761"/>
      <w:hyperlink w:anchor="note8" w:history="1">
        <w:r>
          <w:rPr>
            <w:rFonts w:ascii="Arial" w:hAnsi="Arial" w:eastAsia="Arial" w:cs="Arial"/>
            <w:b/>
            <w:bCs/>
            <w:color w:val="006BB6"/>
            <w:position w:val="6"/>
            <w:sz w:val="31"/>
            <w:szCs w:val="31"/>
            <w:vertAlign w:val="superscript"/>
          </w:rPr>
          <w:t xml:space="preserve">8</w:t>
        </w:r>
      </w:hyperlink>
    </w:p>
    <w:p>
      <w:pPr>
        <w:widowControl w:val="on"/>
        <w:pBdr/>
        <w:spacing w:before="140" w:after="240" w:line="288" w:lineRule="auto"/>
        <w:ind w:left="0" w:right="0"/>
        <w:jc w:val="left"/>
      </w:pPr>
      <w:r>
        <w:rPr>
          <w:rFonts w:ascii="Arial" w:hAnsi="Arial" w:eastAsia="Arial" w:cs="Arial"/>
          <w:color w:val="000000"/>
          <w:sz w:val="20"/>
          <w:szCs w:val="20"/>
        </w:rPr>
        <w:t xml:space="preserve">Die Gesellschaft wird auf unbestimmte Zeit errichtet; sie kann
von jedem Gesellschafter entsprechend den gesetzlichen Bestimmungen
gekündigt werden.</w:t>
      </w:r>
    </w:p>
    <w:p>
      <w:pPr>
        <w:widowControl w:val="on"/>
        <w:pBdr/>
        <w:spacing w:before="140" w:after="240" w:line="288" w:lineRule="auto"/>
        <w:ind w:left="0" w:right="0"/>
        <w:jc w:val="left"/>
      </w:pPr>
      <w:r>
        <w:rPr>
          <w:rFonts w:ascii="Arial" w:hAnsi="Arial" w:eastAsia="Arial" w:cs="Arial"/>
          <w:color w:val="000000"/>
          <w:sz w:val="20"/>
          <w:szCs w:val="20"/>
        </w:rPr>
        <w:t xml:space="preserve">Die Kündigung durch einen Gesellschafter hat die Auflösung der
Gesellschaft zur Folge.</w:t>
      </w:r>
    </w:p>
    <w:p>
      <w:pPr>
        <w:widowControl w:val="on"/>
        <w:pBdr/>
        <w:spacing w:before="140" w:after="240" w:line="288" w:lineRule="auto"/>
        <w:ind w:left="0" w:right="0"/>
        <w:jc w:val="left"/>
      </w:pPr>
      <w:r>
        <w:rPr>
          <w:rFonts w:ascii="Arial" w:hAnsi="Arial" w:eastAsia="Arial" w:cs="Arial"/>
          <w:color w:val="000000"/>
          <w:sz w:val="20"/>
          <w:szCs w:val="20"/>
        </w:rPr>
        <w:t xml:space="preserve">Textvarianten (die Unterschiede im Regelungsinhalt werden in der
Anmerkung zu diesem Punkt des Vertragsmusters erläutert):</w:t>
      </w:r>
    </w:p>
    <w:p>
      <w:pPr>
        <w:widowControl w:val="on"/>
        <w:pBdr/>
        <w:spacing w:before="0" w:after="105" w:line="288" w:lineRule="auto"/>
        <w:ind w:left="0" w:right="0"/>
        <w:jc w:val="left"/>
      </w:pPr>
      <w:r>
        <w:rPr>
          <w:rFonts w:ascii="Arial" w:hAnsi="Arial" w:eastAsia="Arial" w:cs="Arial"/>
          <w:b/>
          <w:bCs/>
          <w:color w:val="277DB9"/>
          <w:sz w:val="25"/>
          <w:szCs w:val="25"/>
        </w:rPr>
        <w:t xml:space="preserve">Variante 1:</w:t>
      </w:r>
    </w:p>
    <w:p>
      <w:pPr>
        <w:widowControl w:val="on"/>
        <w:pBdr/>
        <w:spacing w:before="140" w:after="240" w:line="288" w:lineRule="auto"/>
        <w:ind w:left="0" w:right="0"/>
        <w:jc w:val="left"/>
      </w:pPr>
      <w:r>
        <w:rPr>
          <w:rFonts w:ascii="Arial" w:hAnsi="Arial" w:eastAsia="Arial" w:cs="Arial"/>
          <w:color w:val="277DB9"/>
          <w:sz w:val="20"/>
          <w:szCs w:val="20"/>
        </w:rPr>
        <w:t xml:space="preserve">Die Gesellschaft wird auf unbestimmte Zeit errichtet; sie kann
von jedem Gesellschafter entsprechend den gesetzlichen Bestimmungen
gekündigt werden. Eine Kündigung darf jedoch nicht zur Unzeit
erfolgen.</w:t>
      </w:r>
    </w:p>
    <w:p>
      <w:pPr>
        <w:widowControl w:val="on"/>
        <w:pBdr/>
        <w:spacing w:before="140" w:after="240" w:line="288" w:lineRule="auto"/>
        <w:ind w:left="0" w:right="0"/>
        <w:jc w:val="left"/>
      </w:pPr>
      <w:r>
        <w:rPr>
          <w:rFonts w:ascii="Arial" w:hAnsi="Arial" w:eastAsia="Arial" w:cs="Arial"/>
          <w:color w:val="277DB9"/>
          <w:sz w:val="20"/>
          <w:szCs w:val="20"/>
        </w:rPr>
        <w:t xml:space="preserve">Die Kündigung durch einen Gesellschafter hat das Ausscheiden
dieses Gesellschafters aus der Gesellschaft zur Folge; die
Gesellschaft wird unter den übrigen Gesellschaftern
fortgesetzt.</w:t>
      </w:r>
    </w:p>
    <w:p>
      <w:pPr>
        <w:widowControl w:val="on"/>
        <w:pBdr/>
        <w:spacing w:before="0" w:after="105" w:line="288" w:lineRule="auto"/>
        <w:ind w:left="0" w:right="0"/>
        <w:jc w:val="left"/>
      </w:pPr>
      <w:r>
        <w:rPr>
          <w:rFonts w:ascii="Arial" w:hAnsi="Arial" w:eastAsia="Arial" w:cs="Arial"/>
          <w:b/>
          <w:bCs/>
          <w:color w:val="277DB9"/>
          <w:sz w:val="25"/>
          <w:szCs w:val="25"/>
        </w:rPr>
        <w:t xml:space="preserve">Variante 2:</w:t>
      </w:r>
    </w:p>
    <w:p>
      <w:pPr>
        <w:widowControl w:val="on"/>
        <w:pBdr/>
        <w:spacing w:before="140" w:after="240" w:line="288" w:lineRule="auto"/>
        <w:ind w:left="0" w:right="0"/>
        <w:jc w:val="left"/>
      </w:pPr>
      <w:r>
        <w:rPr>
          <w:rFonts w:ascii="Arial" w:hAnsi="Arial" w:eastAsia="Arial" w:cs="Arial"/>
          <w:color w:val="277DB9"/>
          <w:sz w:val="20"/>
          <w:szCs w:val="20"/>
        </w:rPr>
        <w:t xml:space="preserve">Die Gesellschaft wird auf unbestimmte Zeit errichtet; sie kann
von jedem Gesellschafter unter Einhaltung einer Frist von vier
Monaten jeweils zum 30.06. und zum 31.12. eines Kalenderjahres
gekündigt werden.</w:t>
      </w:r>
    </w:p>
    <w:p>
      <w:pPr>
        <w:widowControl w:val="on"/>
        <w:pBdr/>
        <w:spacing w:before="140" w:after="240" w:line="288" w:lineRule="auto"/>
        <w:ind w:left="0" w:right="0"/>
        <w:jc w:val="left"/>
      </w:pPr>
      <w:r>
        <w:rPr>
          <w:rFonts w:ascii="Arial" w:hAnsi="Arial" w:eastAsia="Arial" w:cs="Arial"/>
          <w:color w:val="277DB9"/>
          <w:sz w:val="20"/>
          <w:szCs w:val="20"/>
        </w:rPr>
        <w:t xml:space="preserve">Die Kündigung durch einen Gesellschafter hat das Ausscheiden
dieses Gesellschafters aus der Gesellschaft zur Folge; die
Gesellschaft wird unter den übrigen Gesellschaftern
fortgesetzt.</w:t>
      </w:r>
    </w:p>
    <w:p>
      <w:pPr>
        <w:widowControl w:val="on"/>
        <w:pBdr/>
        <w:spacing w:before="0" w:after="105" w:line="288" w:lineRule="auto"/>
        <w:ind w:left="0" w:right="0"/>
        <w:jc w:val="left"/>
      </w:pPr>
      <w:r>
        <w:rPr>
          <w:rFonts w:ascii="Arial" w:hAnsi="Arial" w:eastAsia="Arial" w:cs="Arial"/>
          <w:b/>
          <w:bCs/>
          <w:color w:val="277DB9"/>
          <w:sz w:val="25"/>
          <w:szCs w:val="25"/>
        </w:rPr>
        <w:t xml:space="preserve">Variante 3:</w:t>
      </w:r>
    </w:p>
    <w:p>
      <w:pPr>
        <w:widowControl w:val="on"/>
        <w:pBdr/>
        <w:spacing w:before="140" w:after="240" w:line="288" w:lineRule="auto"/>
        <w:ind w:left="0" w:right="0"/>
        <w:jc w:val="left"/>
      </w:pPr>
      <w:r>
        <w:rPr>
          <w:rFonts w:ascii="Arial" w:hAnsi="Arial" w:eastAsia="Arial" w:cs="Arial"/>
          <w:color w:val="277DB9"/>
          <w:sz w:val="20"/>
          <w:szCs w:val="20"/>
        </w:rPr>
        <w:t xml:space="preserve">Die Gesellschaft wird auf unbestimmte Zeit errichtet; sie kann
von jedem Gesellschafter unter Einhaltung einer Frist von vier
Monaten jeweils zum 30.06. und zum 31.12. eines Kalenderjahres
gekündigt werden.</w:t>
      </w:r>
    </w:p>
    <w:p>
      <w:pPr>
        <w:widowControl w:val="on"/>
        <w:pBdr/>
        <w:spacing w:before="140" w:after="240" w:line="288" w:lineRule="auto"/>
        <w:ind w:left="0" w:right="0"/>
        <w:jc w:val="left"/>
      </w:pPr>
      <w:r>
        <w:rPr>
          <w:rFonts w:ascii="Arial" w:hAnsi="Arial" w:eastAsia="Arial" w:cs="Arial"/>
          <w:color w:val="277DB9"/>
          <w:sz w:val="20"/>
          <w:szCs w:val="20"/>
        </w:rPr>
        <w:t xml:space="preserve">Die Kündigung durch einen Gesellschafter hat die Auflösung der
Gesellschaft zur Folge.</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VIII.
Vermögen der Gesellschaft/Kapitaleinlagen</w:t>
      </w:r>
      <w:bookmarkStart w:id="96077332" w:name="link9"/>
      <w:bookmarkEnd w:id="96077332"/>
      <w:hyperlink w:anchor="note9" w:history="1">
        <w:r>
          <w:rPr>
            <w:rFonts w:ascii="Arial" w:hAnsi="Arial" w:eastAsia="Arial" w:cs="Arial"/>
            <w:b/>
            <w:bCs/>
            <w:color w:val="006BB6"/>
            <w:position w:val="6"/>
            <w:sz w:val="31"/>
            <w:szCs w:val="31"/>
            <w:vertAlign w:val="superscript"/>
          </w:rPr>
          <w:t xml:space="preserve">9</w:t>
        </w:r>
      </w:hyperlink>
    </w:p>
    <w:p>
      <w:pPr>
        <w:widowControl w:val="on"/>
        <w:pBdr/>
        <w:spacing w:before="140" w:after="240" w:line="288" w:lineRule="auto"/>
        <w:ind w:left="0" w:right="0"/>
        <w:jc w:val="left"/>
      </w:pPr>
      <w:r>
        <w:rPr>
          <w:rFonts w:ascii="Arial" w:hAnsi="Arial" w:eastAsia="Arial" w:cs="Arial"/>
          <w:color w:val="000000"/>
          <w:sz w:val="20"/>
          <w:szCs w:val="20"/>
        </w:rPr>
        <w:t xml:space="preserve">Die Parteien vereinbaren die Bildung eines
Gesellschaftsvermögens iSd § 1178 Abs 1 ABGB. Zur Bildung
des Gesellschaftsvermögens leisten die Gesellschafter die
nachstehenden Einlagen:</w:t>
      </w:r>
    </w:p>
    <w:p>
      <w:pPr>
        <w:numPr>
          <w:ilvl w:val="0"/>
          <w:numId w:val="70904517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Herr Kunibert Kochlöffel: EUR 30.000,– (dreißigtausend
Euro)</w:t>
      </w:r>
    </w:p>
    <w:p>
      <w:pPr>
        <w:numPr>
          <w:ilvl w:val="0"/>
          <w:numId w:val="70904517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Herr Berthold Bratpfanne: EUR 20.000,– (zwanzigtausend
Euro)</w:t>
      </w:r>
    </w:p>
    <w:p>
      <w:pPr>
        <w:numPr>
          <w:ilvl w:val="0"/>
          <w:numId w:val="70904517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Herr Sebastian Sektflöte: EUR 25.000,–
(fünfundzwanzigtausend Euro)</w:t>
      </w:r>
    </w:p>
    <w:p>
      <w:pPr>
        <w:widowControl w:val="on"/>
        <w:pBdr/>
        <w:spacing w:before="140" w:after="240" w:line="288" w:lineRule="auto"/>
        <w:ind w:left="0" w:right="0"/>
        <w:jc w:val="left"/>
      </w:pPr>
      <w:r>
        <w:rPr>
          <w:rFonts w:ascii="Arial" w:hAnsi="Arial" w:eastAsia="Arial" w:cs="Arial"/>
          <w:color w:val="000000"/>
          <w:sz w:val="20"/>
          <w:szCs w:val="20"/>
        </w:rPr>
        <w:t xml:space="preserve">Die Einzahlung der Geldbeträge hat auf das Konto … zu
erfolgen.</w:t>
      </w:r>
    </w:p>
    <w:p>
      <w:pPr>
        <w:widowControl w:val="on"/>
        <w:pBdr/>
        <w:spacing w:before="140" w:after="240" w:line="288" w:lineRule="auto"/>
        <w:ind w:left="0" w:right="0"/>
        <w:jc w:val="left"/>
      </w:pPr>
      <w:r>
        <w:rPr>
          <w:rFonts w:ascii="Arial" w:hAnsi="Arial" w:eastAsia="Arial" w:cs="Arial"/>
          <w:color w:val="000000"/>
          <w:sz w:val="20"/>
          <w:szCs w:val="20"/>
        </w:rPr>
        <w:t xml:space="preserve">Die Leistung der Einlagen ist bis zum … (einlangend)
vorzunehmen.</w:t>
      </w:r>
    </w:p>
    <w:p>
      <w:pPr>
        <w:widowControl w:val="on"/>
        <w:pBdr/>
        <w:spacing w:before="140" w:after="240" w:line="288" w:lineRule="auto"/>
        <w:ind w:left="0" w:right="0"/>
        <w:jc w:val="left"/>
      </w:pPr>
      <w:r>
        <w:rPr>
          <w:rFonts w:ascii="Arial" w:hAnsi="Arial" w:eastAsia="Arial" w:cs="Arial"/>
          <w:color w:val="000000"/>
          <w:sz w:val="20"/>
          <w:szCs w:val="20"/>
        </w:rPr>
        <w:t xml:space="preserve">Ausdrücklich wird festgehalten, dass alle Gesellschafter
verpflichtet sind, zum gemeinsamen Nutzen zusammenzuwirken,
insbesondere entsprechend ihren Möglichkeiten an den durch den
Zweck der Gesellschaft und durch den Gegenstand des Unternehmens
umrissenen Tätigkeiten teilzunehmen.</w:t>
      </w:r>
    </w:p>
    <w:p>
      <w:pPr>
        <w:widowControl w:val="on"/>
        <w:pBdr/>
        <w:spacing w:before="140" w:after="240" w:line="288" w:lineRule="auto"/>
        <w:ind w:left="0" w:right="0"/>
        <w:jc w:val="left"/>
      </w:pPr>
      <w:r>
        <w:rPr>
          <w:rFonts w:ascii="Arial" w:hAnsi="Arial" w:eastAsia="Arial" w:cs="Arial"/>
          <w:color w:val="000000"/>
          <w:sz w:val="20"/>
          <w:szCs w:val="20"/>
        </w:rPr>
        <w:t xml:space="preserve">Textvariante (der Unterschied im Regelungsinhalt wird in der
Anmerkung zu diesem Punkt des Vertragsmusters erläutert):</w:t>
      </w:r>
    </w:p>
    <w:p>
      <w:pPr>
        <w:widowControl w:val="on"/>
        <w:pBdr/>
        <w:spacing w:before="0" w:after="105" w:line="288" w:lineRule="auto"/>
        <w:ind w:left="0" w:right="0"/>
        <w:jc w:val="left"/>
      </w:pPr>
      <w:r>
        <w:rPr>
          <w:rFonts w:ascii="Arial" w:hAnsi="Arial" w:eastAsia="Arial" w:cs="Arial"/>
          <w:b/>
          <w:bCs/>
          <w:color w:val="277DB9"/>
          <w:sz w:val="25"/>
          <w:szCs w:val="25"/>
        </w:rPr>
        <w:t xml:space="preserve">Variante:</w:t>
      </w:r>
    </w:p>
    <w:p>
      <w:pPr>
        <w:widowControl w:val="on"/>
        <w:pBdr/>
        <w:spacing w:before="140" w:after="240" w:line="288" w:lineRule="auto"/>
        <w:ind w:left="0" w:right="0"/>
        <w:jc w:val="left"/>
      </w:pPr>
      <w:r>
        <w:rPr>
          <w:rFonts w:ascii="Arial" w:hAnsi="Arial" w:eastAsia="Arial" w:cs="Arial"/>
          <w:color w:val="277DB9"/>
          <w:sz w:val="20"/>
          <w:szCs w:val="20"/>
        </w:rPr>
        <w:t xml:space="preserve">Die Parteien vereinbaren die Bildung eines
Gesellschaftsvermögens iSd § 1178 Abs 1 ABGB; die
Gesellschafter tragen zu diesem Hauptstamm wie folgt bei:</w:t>
      </w:r>
    </w:p>
    <w:p>
      <w:pPr>
        <w:numPr>
          <w:ilvl w:val="0"/>
          <w:numId w:val="169130528"/>
        </w:numPr>
        <w:spacing w:before="0" w:after="0" w:line="288" w:lineRule="auto"/>
        <w:jc w:val="left"/>
        <w:rPr>
          <w:rFonts w:ascii="Arial" w:hAnsi="Arial" w:eastAsia="Arial" w:cs="Arial"/>
          <w:color w:val="277DB9"/>
          <w:sz w:val="20"/>
          <w:szCs w:val="20"/>
        </w:rPr>
      </w:pPr>
      <w:r>
        <w:rPr>
          <w:rFonts w:ascii="Arial" w:hAnsi="Arial" w:eastAsia="Arial" w:cs="Arial"/>
          <w:color w:val="277DB9"/>
          <w:sz w:val="20"/>
          <w:szCs w:val="20"/>
        </w:rPr>
        <w:t xml:space="preserve">Herr Kunibert Kochlöffel erbringt Arbeitsleistungen, die als
Kapitalanteil iSd § 1182 Abs 3 ABGB entsprechend einem
Wert von EUR 30.000,– (dreißigtausend Euro) behandelt
werden.</w:t>
      </w:r>
    </w:p>
    <w:p>
      <w:pPr>
        <w:numPr>
          <w:ilvl w:val="0"/>
          <w:numId w:val="169130528"/>
        </w:numPr>
        <w:spacing w:before="0" w:after="0" w:line="288" w:lineRule="auto"/>
        <w:jc w:val="left"/>
        <w:rPr>
          <w:rFonts w:ascii="Arial" w:hAnsi="Arial" w:eastAsia="Arial" w:cs="Arial"/>
          <w:color w:val="277DB9"/>
          <w:sz w:val="20"/>
          <w:szCs w:val="20"/>
        </w:rPr>
      </w:pPr>
      <w:r>
        <w:rPr>
          <w:rFonts w:ascii="Arial" w:hAnsi="Arial" w:eastAsia="Arial" w:cs="Arial"/>
          <w:color w:val="277DB9"/>
          <w:sz w:val="20"/>
          <w:szCs w:val="20"/>
        </w:rPr>
        <w:t xml:space="preserve">Herr Berthold Bratpfanne erbringt Arbeitsleistungen, die als
Kapitalanteil iSd § 1182 Abs 3 ABGB entsprechend einem
Wert von EUR 20.000,– (zwanzigtausend Euro) behandelt
werden.</w:t>
      </w:r>
    </w:p>
    <w:p>
      <w:pPr>
        <w:numPr>
          <w:ilvl w:val="0"/>
          <w:numId w:val="169130528"/>
        </w:numPr>
        <w:spacing w:before="0" w:after="0" w:line="288" w:lineRule="auto"/>
        <w:jc w:val="left"/>
        <w:rPr>
          <w:rFonts w:ascii="Arial" w:hAnsi="Arial" w:eastAsia="Arial" w:cs="Arial"/>
          <w:color w:val="277DB9"/>
          <w:sz w:val="20"/>
          <w:szCs w:val="20"/>
        </w:rPr>
      </w:pPr>
      <w:r>
        <w:rPr>
          <w:rFonts w:ascii="Arial" w:hAnsi="Arial" w:eastAsia="Arial" w:cs="Arial"/>
          <w:color w:val="277DB9"/>
          <w:sz w:val="20"/>
          <w:szCs w:val="20"/>
        </w:rPr>
        <w:t xml:space="preserve">Herr Sebastian Sektflöte erbringt Arbeitsleistungen, die als
Kapitalanteil iSd § 1182 Abs 3 ABGB entsprechend einem
Wert von EUR 25.000,– (fünfundzwanzigtausend Euro) behandelt
werden.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IX.
Geschäftsführung</w:t>
      </w:r>
      <w:bookmarkStart w:id="58255714" w:name="link10"/>
      <w:bookmarkEnd w:id="58255714"/>
      <w:hyperlink w:anchor="note10" w:history="1">
        <w:r>
          <w:rPr>
            <w:rFonts w:ascii="Arial" w:hAnsi="Arial" w:eastAsia="Arial" w:cs="Arial"/>
            <w:b/>
            <w:bCs/>
            <w:color w:val="006BB6"/>
            <w:position w:val="6"/>
            <w:sz w:val="31"/>
            <w:szCs w:val="31"/>
            <w:vertAlign w:val="superscript"/>
          </w:rPr>
          <w:t xml:space="preserve">10</w:t>
        </w:r>
      </w:hyperlink>
    </w:p>
    <w:p>
      <w:pPr>
        <w:widowControl w:val="on"/>
        <w:pBdr/>
        <w:spacing w:before="140" w:after="240" w:line="288" w:lineRule="auto"/>
        <w:ind w:left="0" w:right="0"/>
        <w:jc w:val="left"/>
      </w:pPr>
      <w:r>
        <w:rPr>
          <w:rFonts w:ascii="Arial" w:hAnsi="Arial" w:eastAsia="Arial" w:cs="Arial"/>
          <w:color w:val="000000"/>
          <w:sz w:val="20"/>
          <w:szCs w:val="20"/>
        </w:rPr>
        <w:t xml:space="preserve">Hinsichtlich der Führung der Geschäfte der Gesellschaft wird
unterschieden zwischen</w:t>
      </w:r>
    </w:p>
    <w:p>
      <w:pPr>
        <w:numPr>
          <w:ilvl w:val="0"/>
          <w:numId w:val="29377396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Geschäftsführung in gewöhnlichen Angelegenheiten (der
ordentlichen Geschäftsführung) sowie</w:t>
      </w:r>
    </w:p>
    <w:p>
      <w:pPr>
        <w:numPr>
          <w:ilvl w:val="0"/>
          <w:numId w:val="29377396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Geschäftsführung in außergewöhnlichen Angelegenheiten (der
außerordentlichen Geschäftsführung),</w:t>
      </w:r>
    </w:p>
    <w:p>
      <w:pPr>
        <w:widowControl w:val="on"/>
        <w:pBdr/>
        <w:spacing w:before="140" w:after="240" w:line="288" w:lineRule="auto"/>
        <w:ind w:left="0" w:right="0"/>
        <w:jc w:val="left"/>
      </w:pPr>
      <w:r>
        <w:rPr>
          <w:rFonts w:ascii="Arial" w:hAnsi="Arial" w:eastAsia="Arial" w:cs="Arial"/>
          <w:color w:val="000000"/>
          <w:sz w:val="20"/>
          <w:szCs w:val="20"/>
        </w:rPr>
        <w:t xml:space="preserve">wobei zur außerordentlichen Geschäftsführung jedenfalls die
Aufnahme eines Darlehens im Betrag von mehr als EUR 100.000,–
(einhunderttausend Euro), die Kreditierung eines vom Kunden zu
entrichtenden Kaufpreises im Betrag von mehr als EUR 20.000,–
(zwanzigtausend Euro) gehören, sowie die Belastung und Veräußerung
von ggf vorhandenen Liegenschaften.</w:t>
      </w:r>
    </w:p>
    <w:p>
      <w:pPr>
        <w:widowControl w:val="on"/>
        <w:pBdr/>
        <w:spacing w:before="140" w:after="240" w:line="288" w:lineRule="auto"/>
        <w:ind w:left="0" w:right="0"/>
        <w:jc w:val="left"/>
      </w:pPr>
      <w:r>
        <w:rPr>
          <w:rFonts w:ascii="Arial" w:hAnsi="Arial" w:eastAsia="Arial" w:cs="Arial"/>
          <w:color w:val="000000"/>
          <w:sz w:val="20"/>
          <w:szCs w:val="20"/>
        </w:rPr>
        <w:t xml:space="preserve">Im Rahmen der ordentlichen Geschäftsführung ist jeder
Gesellschafter zur selbstständigen Setzung von
Geschäftsführungshandlungen befugt
(Einzelgeschäftsführungsbefugnis); widerspricht jedoch ein anderer
Gesellschafter der Vornahme einer Geschäftsführungshandlung, so hat
diese zu unterbleiben.</w:t>
      </w:r>
    </w:p>
    <w:p>
      <w:pPr>
        <w:widowControl w:val="on"/>
        <w:pBdr/>
        <w:spacing w:before="140" w:after="240" w:line="288" w:lineRule="auto"/>
        <w:ind w:left="0" w:right="0"/>
        <w:jc w:val="left"/>
      </w:pPr>
      <w:r>
        <w:rPr>
          <w:rFonts w:ascii="Arial" w:hAnsi="Arial" w:eastAsia="Arial" w:cs="Arial"/>
          <w:color w:val="000000"/>
          <w:sz w:val="20"/>
          <w:szCs w:val="20"/>
        </w:rPr>
        <w:t xml:space="preserve">Im Rahmen der außerordentlichen Geschäftsführung sind nur alle
Geschäftsführer gemeinsam zur Setzung von
Geschäftsführungshandlungen befugt (Gesamtgeschäftsführung mit
Einstimmigkeitsprinzip); es bedarf somit für jede
Geschäftsführungshandlung der einstimmigen Zustimmung aller
Gesellschafter, es sei denn, dass Gefahr im Verzug ist.</w:t>
      </w:r>
    </w:p>
    <w:p>
      <w:pPr>
        <w:widowControl w:val="on"/>
        <w:pBdr/>
        <w:spacing w:before="140" w:after="240" w:line="288" w:lineRule="auto"/>
        <w:ind w:left="0" w:right="0"/>
        <w:jc w:val="left"/>
      </w:pPr>
      <w:r>
        <w:rPr>
          <w:rFonts w:ascii="Arial" w:hAnsi="Arial" w:eastAsia="Arial" w:cs="Arial"/>
          <w:color w:val="000000"/>
          <w:sz w:val="20"/>
          <w:szCs w:val="20"/>
        </w:rPr>
        <w:t xml:space="preserve">Zur Einräumung einer Vollmacht iSd § 1008 ABGB bedarf es
der Zustimmung aller Gesellschafter, es sei denn, dass Gefahr im
Verzug ist. Der Widerruf einer derartigen Vollmacht kann von jedem
einzelnen der Gesellschafter vorgenommen werden. Gefahr in Verzug
setzt voraus, dass eine Handlung so dringend notwendig ist, dass
der mit der Einholung der Einwilligung bzw Zustimmung der anderen
Gesellschafter verbundene Aufschub mit der Gefahr einer schweren
Schädigung der Gesellschafter und somit der anderen Gesellschafter
verbunden wäre.</w:t>
      </w:r>
    </w:p>
    <w:p>
      <w:pPr>
        <w:widowControl w:val="on"/>
        <w:pBdr/>
        <w:spacing w:before="140" w:after="240" w:line="288" w:lineRule="auto"/>
        <w:ind w:left="0" w:right="0"/>
        <w:jc w:val="left"/>
      </w:pPr>
      <w:r>
        <w:rPr>
          <w:rFonts w:ascii="Arial" w:hAnsi="Arial" w:eastAsia="Arial" w:cs="Arial"/>
          <w:color w:val="000000"/>
          <w:sz w:val="20"/>
          <w:szCs w:val="20"/>
        </w:rPr>
        <w:t xml:space="preserve">Die Befugnis eines Gesellschafters zur Geschäftsführung kann
einem Gesellschafter aufgrund einer Klage aller übrigen
Gesellschafter durch gerichtliche Entscheidung entzogen werden,
wenn ein wichtiger Grund vorliegt; ein solcher Grund ist
insbesondere grobe Pflichtverletzung oder Unfähigkeit zur
ordnungsgemäßen Geschäftsführung.</w:t>
      </w:r>
    </w:p>
    <w:p>
      <w:pPr>
        <w:widowControl w:val="on"/>
        <w:pBdr/>
        <w:spacing w:before="140" w:after="240" w:line="288" w:lineRule="auto"/>
        <w:ind w:left="0" w:right="0"/>
        <w:jc w:val="left"/>
      </w:pPr>
      <w:r>
        <w:rPr>
          <w:rFonts w:ascii="Arial" w:hAnsi="Arial" w:eastAsia="Arial" w:cs="Arial"/>
          <w:color w:val="000000"/>
          <w:sz w:val="20"/>
          <w:szCs w:val="20"/>
        </w:rPr>
        <w:t xml:space="preserve">Ein Gesellschafter kann seine Befugnis zur Geschäftsführung
kündigen, wenn ein wichtiger Grund vorliegt. Die Geschäftsführung
darf nur in der Art gekündigt werden, dass die Gesellschafter für
die Führung der Geschäfte anderweitig Vorsorge treffen können, es
sei denn, dass der wichtige Grund auch die unzeitige Kündigung
rechtfertigt.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
Kontrollrecht der Gesellschafter</w:t>
      </w:r>
      <w:bookmarkStart w:id="50036590" w:name="link11"/>
      <w:bookmarkEnd w:id="50036590"/>
      <w:hyperlink w:anchor="note11" w:history="1">
        <w:r>
          <w:rPr>
            <w:rFonts w:ascii="Arial" w:hAnsi="Arial" w:eastAsia="Arial" w:cs="Arial"/>
            <w:b/>
            <w:bCs/>
            <w:color w:val="006BB6"/>
            <w:position w:val="6"/>
            <w:sz w:val="31"/>
            <w:szCs w:val="31"/>
            <w:vertAlign w:val="superscript"/>
          </w:rPr>
          <w:t xml:space="preserve">11</w:t>
        </w:r>
      </w:hyperlink>
    </w:p>
    <w:p>
      <w:pPr>
        <w:widowControl w:val="on"/>
        <w:pBdr/>
        <w:spacing w:before="140" w:after="240" w:line="288" w:lineRule="auto"/>
        <w:ind w:left="0" w:right="0"/>
        <w:jc w:val="left"/>
      </w:pPr>
      <w:r>
        <w:rPr>
          <w:rFonts w:ascii="Arial" w:hAnsi="Arial" w:eastAsia="Arial" w:cs="Arial"/>
          <w:color w:val="000000"/>
          <w:sz w:val="20"/>
          <w:szCs w:val="20"/>
        </w:rPr>
        <w:t xml:space="preserve">Ein geschäftsführender Gesellschafter ist verpflichtet, jedem
anderen Gesellschafter alle erforderlichen Informationen und
Einblicke zu geben, auf Verlangen über den Stand der Geschäfte
Auskunft zu erteilen und Rechenschaft abzulegen sowie alle
Aufzeichnungen zur Einsicht vorzulegen. Ein Gesellschafter kann
sich, auch wenn er von der Geschäftsführung ausgeschlossen ist, von
den Angelegenheiten der Gesellschaft persönlich unterrichten, die
Aufzeichnungen der Gesellschaft einsehen und sich aus ihnen eine
Abrechnung anfertigen oder die Vorlage einer solchen Abrechnung
fordern.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XI.
Verteilung von Gewinn und Verlust</w:t>
      </w:r>
      <w:bookmarkStart w:id="51877019" w:name="link12"/>
      <w:bookmarkEnd w:id="51877019"/>
      <w:hyperlink w:anchor="note12" w:history="1">
        <w:r>
          <w:rPr>
            <w:rFonts w:ascii="Arial" w:hAnsi="Arial" w:eastAsia="Arial" w:cs="Arial"/>
            <w:b/>
            <w:bCs/>
            <w:color w:val="006BB6"/>
            <w:position w:val="6"/>
            <w:sz w:val="31"/>
            <w:szCs w:val="31"/>
            <w:vertAlign w:val="superscript"/>
          </w:rPr>
          <w:t xml:space="preserve">12</w:t>
        </w:r>
      </w:hyperlink>
    </w:p>
    <w:p>
      <w:pPr>
        <w:widowControl w:val="on"/>
        <w:pBdr/>
        <w:spacing w:before="140" w:after="240" w:line="288" w:lineRule="auto"/>
        <w:ind w:left="0" w:right="0"/>
        <w:jc w:val="left"/>
      </w:pPr>
      <w:r>
        <w:rPr>
          <w:rFonts w:ascii="Arial" w:hAnsi="Arial" w:eastAsia="Arial" w:cs="Arial"/>
          <w:color w:val="000000"/>
          <w:sz w:val="20"/>
          <w:szCs w:val="20"/>
        </w:rPr>
        <w:t xml:space="preserve">Am Schluss jedes Geschäftsjahres wird aufgrund einer
Jahresabrechnung der Gewinn oder Verlust ermittelt und der Anteil
jedes Gesellschafters daran berechnet.</w:t>
      </w:r>
    </w:p>
    <w:p>
      <w:pPr>
        <w:widowControl w:val="on"/>
        <w:pBdr/>
        <w:spacing w:before="140" w:after="240" w:line="288" w:lineRule="auto"/>
        <w:ind w:left="0" w:right="0"/>
        <w:jc w:val="left"/>
      </w:pPr>
      <w:r>
        <w:rPr>
          <w:rFonts w:ascii="Arial" w:hAnsi="Arial" w:eastAsia="Arial" w:cs="Arial"/>
          <w:color w:val="000000"/>
          <w:sz w:val="20"/>
          <w:szCs w:val="20"/>
        </w:rPr>
        <w:t xml:space="preserve">Die Verteilung des Gewinns erfolgt entsprechend dem Verhältnis
der Kapitalanteile der Gesellschafter; demnach entfallen</w:t>
      </w:r>
    </w:p>
    <w:p>
      <w:pPr>
        <w:numPr>
          <w:ilvl w:val="0"/>
          <w:numId w:val="37138886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auf den Gesellschafter Kunibert Kochlöffel 30/75 (dreißig
Fünfundsiebzigstel),</w:t>
      </w:r>
    </w:p>
    <w:p>
      <w:pPr>
        <w:numPr>
          <w:ilvl w:val="0"/>
          <w:numId w:val="37138886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auf den Gesellschafter Berthold Bratpfanne 20/75 (zwanzig
Fünfundsiebzigstel) und</w:t>
      </w:r>
    </w:p>
    <w:p>
      <w:pPr>
        <w:numPr>
          <w:ilvl w:val="0"/>
          <w:numId w:val="37138886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auf den Gesellschafter Sebastian Sektflöte 25/75
(fünfundzwanzig Fünfundsiebzigstel)</w:t>
      </w:r>
    </w:p>
    <w:p>
      <w:pPr>
        <w:widowControl w:val="on"/>
        <w:pBdr/>
        <w:spacing w:before="140" w:after="240" w:line="288" w:lineRule="auto"/>
        <w:ind w:left="0" w:right="0"/>
        <w:jc w:val="left"/>
      </w:pPr>
      <w:r>
        <w:rPr>
          <w:rFonts w:ascii="Arial" w:hAnsi="Arial" w:eastAsia="Arial" w:cs="Arial"/>
          <w:color w:val="000000"/>
          <w:sz w:val="20"/>
          <w:szCs w:val="20"/>
        </w:rPr>
        <w:t xml:space="preserve">des Gewinns.</w:t>
      </w:r>
    </w:p>
    <w:p>
      <w:pPr>
        <w:widowControl w:val="on"/>
        <w:pBdr/>
        <w:spacing w:before="140" w:after="240" w:line="288" w:lineRule="auto"/>
        <w:ind w:left="0" w:right="0"/>
        <w:jc w:val="left"/>
      </w:pPr>
      <w:r>
        <w:rPr>
          <w:rFonts w:ascii="Arial" w:hAnsi="Arial" w:eastAsia="Arial" w:cs="Arial"/>
          <w:color w:val="000000"/>
          <w:sz w:val="20"/>
          <w:szCs w:val="20"/>
        </w:rPr>
        <w:t xml:space="preserve">Ergibt sich bei der Berechnung des Gewinns ein negativer Wert –
somit ein Verlust –, dann ist dieser Verlust auf die Gesellschafter
entsprechend der Regelung für die Verteilung des Gewinns
aufzuteilen.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XII.
Vertretung</w:t>
      </w:r>
      <w:bookmarkStart w:id="22528375" w:name="link13"/>
      <w:bookmarkEnd w:id="22528375"/>
      <w:hyperlink w:anchor="note13" w:history="1">
        <w:r>
          <w:rPr>
            <w:rFonts w:ascii="Arial" w:hAnsi="Arial" w:eastAsia="Arial" w:cs="Arial"/>
            <w:b/>
            <w:bCs/>
            <w:color w:val="006BB6"/>
            <w:position w:val="6"/>
            <w:sz w:val="31"/>
            <w:szCs w:val="31"/>
            <w:vertAlign w:val="superscript"/>
          </w:rPr>
          <w:t xml:space="preserve">13</w:t>
        </w:r>
      </w:hyperlink>
    </w:p>
    <w:p>
      <w:pPr>
        <w:widowControl w:val="on"/>
        <w:pBdr/>
        <w:spacing w:before="140" w:after="240" w:line="288" w:lineRule="auto"/>
        <w:ind w:left="0" w:right="0"/>
        <w:jc w:val="left"/>
      </w:pPr>
      <w:r>
        <w:rPr>
          <w:rFonts w:ascii="Arial" w:hAnsi="Arial" w:eastAsia="Arial" w:cs="Arial"/>
          <w:color w:val="000000"/>
          <w:sz w:val="20"/>
          <w:szCs w:val="20"/>
        </w:rPr>
        <w:t xml:space="preserve">Festgehalten wird, dass es sich bei der Gesellschaft um eine
unternehmerisch tätige Außengesellschaft iSd § 1197 ABGB
handelt.</w:t>
      </w:r>
    </w:p>
    <w:p>
      <w:pPr>
        <w:widowControl w:val="on"/>
        <w:pBdr/>
        <w:spacing w:before="140" w:after="240" w:line="288" w:lineRule="auto"/>
        <w:ind w:left="0" w:right="0"/>
        <w:jc w:val="left"/>
      </w:pPr>
      <w:r>
        <w:rPr>
          <w:rFonts w:ascii="Arial" w:hAnsi="Arial" w:eastAsia="Arial" w:cs="Arial"/>
          <w:color w:val="000000"/>
          <w:sz w:val="20"/>
          <w:szCs w:val="20"/>
        </w:rPr>
        <w:t xml:space="preserve">Die Befugnis zur Vertretung aller Gesellschafter in
Gesellschaftsangelegenheiten deckt sich mit der Befugnis zur
Geschäftsführung.</w:t>
      </w:r>
    </w:p>
    <w:p>
      <w:pPr>
        <w:widowControl w:val="on"/>
        <w:pBdr/>
        <w:spacing w:before="140" w:after="240" w:line="288" w:lineRule="auto"/>
        <w:ind w:left="0" w:right="0"/>
        <w:jc w:val="left"/>
      </w:pPr>
      <w:r>
        <w:rPr>
          <w:rFonts w:ascii="Arial" w:hAnsi="Arial" w:eastAsia="Arial" w:cs="Arial"/>
          <w:color w:val="000000"/>
          <w:sz w:val="20"/>
          <w:szCs w:val="20"/>
        </w:rPr>
        <w:t xml:space="preserve">Alle Gesellschafter werden aus dem Handeln eines Gesellschafters
im Namen der Gesellschaft auch dann berechtigt und verpflichtet,
wenn dieser Gesellschafter nicht, nicht allein oder nur beschränkt
vertretungsbefugt war, der Dritte den Mangel der
Vertretungsbefugnis aber weder kannte noch kennen musste.</w:t>
      </w:r>
    </w:p>
    <w:p>
      <w:pPr>
        <w:widowControl w:val="on"/>
        <w:pBdr/>
        <w:spacing w:before="140" w:after="240" w:line="288" w:lineRule="auto"/>
        <w:ind w:left="0" w:right="0"/>
        <w:jc w:val="left"/>
      </w:pPr>
      <w:r>
        <w:rPr>
          <w:rFonts w:ascii="Arial" w:hAnsi="Arial" w:eastAsia="Arial" w:cs="Arial"/>
          <w:color w:val="000000"/>
          <w:sz w:val="20"/>
          <w:szCs w:val="20"/>
        </w:rPr>
        <w:t xml:space="preserve">Die Vertretungsmacht kann einem Gesellschafter aufgrund einer
Klage aller übrigen Gesellschafter durch gerichtliche Entscheidung
entzogen werden, wenn ein wichtiger Grund vorliegt; ein solcher
Grund ist insbesondere grobe Pflichtverletzung oder Unfähigkeit zur
ordnungsgemäßen Vertretung der Gesellschaft.</w:t>
      </w:r>
    </w:p>
    <w:p>
      <w:pPr>
        <w:widowControl w:val="on"/>
        <w:pBdr/>
        <w:spacing w:before="140" w:after="240" w:line="288" w:lineRule="auto"/>
        <w:ind w:left="0" w:right="0"/>
        <w:jc w:val="left"/>
      </w:pPr>
      <w:r>
        <w:rPr>
          <w:rFonts w:ascii="Arial" w:hAnsi="Arial" w:eastAsia="Arial" w:cs="Arial"/>
          <w:color w:val="000000"/>
          <w:sz w:val="20"/>
          <w:szCs w:val="20"/>
        </w:rPr>
        <w:t xml:space="preserve">Wer, ohne Gesellschafter zu sein, mit der Vertretung in
Gesellschaftsangelegenheiten betraut wird, vertritt die
Gesellschafter nach Maßgabe der erteilten Vollmacht.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XIII.
Haftung</w:t>
      </w:r>
      <w:bookmarkStart w:id="81009550" w:name="link14"/>
      <w:bookmarkEnd w:id="81009550"/>
      <w:hyperlink w:anchor="note14" w:history="1">
        <w:r>
          <w:rPr>
            <w:rFonts w:ascii="Arial" w:hAnsi="Arial" w:eastAsia="Arial" w:cs="Arial"/>
            <w:b/>
            <w:bCs/>
            <w:color w:val="006BB6"/>
            <w:position w:val="6"/>
            <w:sz w:val="31"/>
            <w:szCs w:val="31"/>
            <w:vertAlign w:val="superscript"/>
          </w:rPr>
          <w:t xml:space="preserve">14</w:t>
        </w:r>
      </w:hyperlink>
    </w:p>
    <w:p>
      <w:pPr>
        <w:widowControl w:val="on"/>
        <w:pBdr/>
        <w:spacing w:before="140" w:after="240" w:line="288" w:lineRule="auto"/>
        <w:ind w:left="0" w:right="0"/>
        <w:jc w:val="left"/>
      </w:pPr>
      <w:r>
        <w:rPr>
          <w:rFonts w:ascii="Arial" w:hAnsi="Arial" w:eastAsia="Arial" w:cs="Arial"/>
          <w:color w:val="000000"/>
          <w:sz w:val="20"/>
          <w:szCs w:val="20"/>
        </w:rPr>
        <w:t xml:space="preserve">Die Haftung der Gesellschafter für Verbindlichkeiten, die im
Rahmen der Tätigkeit der Gesellschaft begründet werden, richtet
sich nach den Regeln des bürgerlichen Rechts und des
Unternehmensrechts.</w:t>
      </w:r>
    </w:p>
    <w:p>
      <w:pPr>
        <w:widowControl w:val="on"/>
        <w:pBdr/>
        <w:spacing w:before="140" w:after="240" w:line="288" w:lineRule="auto"/>
        <w:ind w:left="0" w:right="0"/>
        <w:jc w:val="left"/>
      </w:pPr>
      <w:r>
        <w:rPr>
          <w:rFonts w:ascii="Arial" w:hAnsi="Arial" w:eastAsia="Arial" w:cs="Arial"/>
          <w:color w:val="000000"/>
          <w:sz w:val="20"/>
          <w:szCs w:val="20"/>
        </w:rPr>
        <w:t xml:space="preserve">Textvariante (der Unterschied im Regelungsinhalt wird in der
Anmerkung zu diesem Punkt des Vertragsmusters erläutert):</w:t>
      </w:r>
    </w:p>
    <w:p>
      <w:pPr>
        <w:widowControl w:val="on"/>
        <w:pBdr/>
        <w:spacing w:before="0" w:after="105" w:line="288" w:lineRule="auto"/>
        <w:ind w:left="0" w:right="0"/>
        <w:jc w:val="left"/>
      </w:pPr>
      <w:r>
        <w:rPr>
          <w:rFonts w:ascii="Arial" w:hAnsi="Arial" w:eastAsia="Arial" w:cs="Arial"/>
          <w:b/>
          <w:bCs/>
          <w:color w:val="277DB9"/>
          <w:sz w:val="25"/>
          <w:szCs w:val="25"/>
        </w:rPr>
        <w:t xml:space="preserve">Variante:</w:t>
      </w:r>
    </w:p>
    <w:p>
      <w:pPr>
        <w:widowControl w:val="on"/>
        <w:pBdr/>
        <w:spacing w:before="140" w:after="240" w:line="288" w:lineRule="auto"/>
        <w:ind w:left="0" w:right="0"/>
        <w:jc w:val="left"/>
      </w:pPr>
      <w:r>
        <w:rPr>
          <w:rFonts w:ascii="Arial" w:hAnsi="Arial" w:eastAsia="Arial" w:cs="Arial"/>
          <w:color w:val="277DB9"/>
          <w:sz w:val="20"/>
          <w:szCs w:val="20"/>
        </w:rPr>
        <w:t xml:space="preserve">Für Verbindlichkeiten, welche der Gesellschaft zuzuordnen sind,
haften alle Gesellschafter solidarisch. Die Haftung für
schuldhaftes Verhalten eines Gesellschafters bleibt im
Innenverhältnis ungeteilt. Alle aus diesem Grund in Anspruch
genommenen Gesellschafter sind vom Schädiger im Innenverhältnis
schadlos zu halten.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XIV.
Konkurrenzverbot</w:t>
      </w:r>
      <w:bookmarkStart w:id="21044219" w:name="link15"/>
      <w:bookmarkEnd w:id="21044219"/>
      <w:hyperlink w:anchor="note15" w:history="1">
        <w:r>
          <w:rPr>
            <w:rFonts w:ascii="Arial" w:hAnsi="Arial" w:eastAsia="Arial" w:cs="Arial"/>
            <w:b/>
            <w:bCs/>
            <w:color w:val="006BB6"/>
            <w:position w:val="6"/>
            <w:sz w:val="31"/>
            <w:szCs w:val="31"/>
            <w:vertAlign w:val="superscript"/>
          </w:rPr>
          <w:t xml:space="preserve">15</w:t>
        </w:r>
      </w:hyperlink>
    </w:p>
    <w:p>
      <w:pPr>
        <w:widowControl w:val="on"/>
        <w:pBdr/>
        <w:spacing w:before="140" w:after="240" w:line="288" w:lineRule="auto"/>
        <w:ind w:left="0" w:right="0"/>
        <w:jc w:val="left"/>
      </w:pPr>
      <w:r>
        <w:rPr>
          <w:rFonts w:ascii="Arial" w:hAnsi="Arial" w:eastAsia="Arial" w:cs="Arial"/>
          <w:color w:val="000000"/>
          <w:sz w:val="20"/>
          <w:szCs w:val="20"/>
        </w:rPr>
        <w:t xml:space="preserve">Den Gesellschaftern ist es untersagt, eine Geschäftstätigkeit
auszuüben, welche dem im Rahmen der Gesellschaft verfolgten
gemeinsamen Interesse zuwiderläuft.</w:t>
      </w:r>
    </w:p>
    <w:p>
      <w:pPr>
        <w:widowControl w:val="on"/>
        <w:pBdr/>
        <w:spacing w:before="140" w:after="240" w:line="288" w:lineRule="auto"/>
        <w:ind w:left="0" w:right="0"/>
        <w:jc w:val="left"/>
      </w:pPr>
      <w:r>
        <w:rPr>
          <w:rFonts w:ascii="Arial" w:hAnsi="Arial" w:eastAsia="Arial" w:cs="Arial"/>
          <w:color w:val="000000"/>
          <w:sz w:val="20"/>
          <w:szCs w:val="20"/>
        </w:rPr>
        <w:t xml:space="preserve">Ein Gesellschafter darf ohne Einwilligung der anderen
Gesellschafter</w:t>
      </w:r>
    </w:p>
    <w:p>
      <w:pPr>
        <w:numPr>
          <w:ilvl w:val="0"/>
          <w:numId w:val="89411782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weder im Geschäftszweig der Gesellschaft Geschäfte machen,</w:t>
      </w:r>
    </w:p>
    <w:p>
      <w:pPr>
        <w:numPr>
          <w:ilvl w:val="0"/>
          <w:numId w:val="89411782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noch an einer anderen gleichartigen Gesellschaft als
unbeschränkt haftender Gesellschafter teilnehmen oder Produkte und
Dienstleistungen fördern, die in direkter Konkurrenz zum
Geschäftszweig der Gesellschaft stehen.</w:t>
      </w:r>
    </w:p>
    <w:p>
      <w:pPr>
        <w:widowControl w:val="on"/>
        <w:pBdr/>
        <w:spacing w:before="140" w:after="240" w:line="288" w:lineRule="auto"/>
        <w:ind w:left="0" w:right="0"/>
        <w:jc w:val="left"/>
      </w:pPr>
      <w:r>
        <w:rPr>
          <w:rFonts w:ascii="Arial" w:hAnsi="Arial" w:eastAsia="Arial" w:cs="Arial"/>
          <w:color w:val="000000"/>
          <w:sz w:val="20"/>
          <w:szCs w:val="20"/>
        </w:rPr>
        <w:t xml:space="preserve">Ausdrücklich festgehalten wird, dass die von einem
Gesellschafter im Zeitpunkt der Unterzeichnung dieses Vertrages im
Rahmen seines jeweiligen eigenen Gewerbebetriebes ausgeübte
Tätigkeit als weiterhin zulässig anzusehen ist.</w:t>
      </w:r>
    </w:p>
    <w:p>
      <w:pPr>
        <w:widowControl w:val="on"/>
        <w:pBdr/>
        <w:spacing w:before="140" w:after="240" w:line="288" w:lineRule="auto"/>
        <w:ind w:left="0" w:right="0"/>
        <w:jc w:val="left"/>
      </w:pPr>
      <w:r>
        <w:rPr>
          <w:rFonts w:ascii="Arial" w:hAnsi="Arial" w:eastAsia="Arial" w:cs="Arial"/>
          <w:color w:val="000000"/>
          <w:sz w:val="20"/>
          <w:szCs w:val="20"/>
        </w:rPr>
        <w:t xml:space="preserve">Dieses Konkurrenzverbot gilt auch drei Jahre nach dem
Ausscheiden eines Gesellschafters jedweder Art weiter.</w:t>
      </w:r>
    </w:p>
    <w:p>
      <w:pPr>
        <w:widowControl w:val="on"/>
        <w:pBdr/>
        <w:spacing w:before="140" w:after="240" w:line="288" w:lineRule="auto"/>
        <w:ind w:left="0" w:right="0"/>
        <w:jc w:val="left"/>
      </w:pPr>
      <w:r>
        <w:rPr>
          <w:rFonts w:ascii="Arial" w:hAnsi="Arial" w:eastAsia="Arial" w:cs="Arial"/>
          <w:color w:val="000000"/>
          <w:sz w:val="20"/>
          <w:szCs w:val="20"/>
        </w:rPr>
        <w:t xml:space="preserve">Verletzt ein Gesellschafter die ihm nach diesen Bestimmungen
obliegende Verpflichtung, so kann die Gesellschaft Schadenersatz
fordern; sie kann stattdessen von dem Gesellschafter verlangen,
dass der Gesellschafter die für eigene Rechnung gemachten Geschäfte
als für Rechnung der Gesellschaft eingegangen gelten lasse und die
aus Geschäften für fremde Rechnung bezogene Vergütung herausgebe
oder seinen Anspruch auf die Vergütung abtrete. Über die
Geltendmachung dieser Ansprüche beschließen die übrigen
Gesellschafter.</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XV. Sonstiges</w:t>
      </w:r>
    </w:p>
    <w:p>
      <w:pPr>
        <w:widowControl w:val="on"/>
        <w:pBdr/>
        <w:spacing w:before="140" w:after="240" w:line="288" w:lineRule="auto"/>
        <w:ind w:left="0" w:right="0"/>
        <w:jc w:val="left"/>
      </w:pPr>
      <w:r>
        <w:rPr>
          <w:rFonts w:ascii="Arial" w:hAnsi="Arial" w:eastAsia="Arial" w:cs="Arial"/>
          <w:color w:val="000000"/>
          <w:sz w:val="20"/>
          <w:szCs w:val="20"/>
        </w:rPr>
        <w:t xml:space="preserve">Die mit der Errichtung dieses Vertrages verbundenen Kosten und
Abgaben tragen die Gesellschafter zur ungeteilten Hand.</w:t>
      </w:r>
    </w:p>
    <w:p>
      <w:pPr>
        <w:widowControl w:val="on"/>
        <w:pBdr/>
        <w:spacing w:before="140" w:after="240" w:line="288" w:lineRule="auto"/>
        <w:ind w:left="0" w:right="0"/>
        <w:jc w:val="left"/>
      </w:pPr>
      <w:r>
        <w:rPr>
          <w:rFonts w:ascii="Arial" w:hAnsi="Arial" w:eastAsia="Arial" w:cs="Arial"/>
          <w:color w:val="000000"/>
          <w:sz w:val="20"/>
          <w:szCs w:val="20"/>
        </w:rPr>
        <w:t xml:space="preserve">Die Unwirksamkeit einer oder einzelner Vertragsbestimmungen hat
nicht die Unwirksamkeit des gesamten Vertrages oder des
betreffenden Vertragspunktes zur Folge. Anstelle der unwirksamen
Bestimmungen hat eine dem Willen der Vertragsteile möglichst nahe
kommende Bestimmung und, falls diese nicht ermittelt werden kann,
die gesetzliche Regelung zu gelten.</w:t>
      </w:r>
    </w:p>
    <w:p>
      <w:pPr>
        <w:widowControl w:val="on"/>
        <w:pBdr/>
        <w:spacing w:before="140" w:after="240" w:line="288" w:lineRule="auto"/>
        <w:ind w:left="0" w:right="0"/>
        <w:jc w:val="left"/>
      </w:pPr>
      <w:r>
        <w:rPr>
          <w:rFonts w:ascii="Arial" w:hAnsi="Arial" w:eastAsia="Arial" w:cs="Arial"/>
          <w:color w:val="000000"/>
          <w:sz w:val="20"/>
          <w:szCs w:val="20"/>
        </w:rPr>
        <w:t xml:space="preserve">Die Bestimmungen des Vertrages sind so auszulegen und
handzuhaben, dass der Bestand des Unternehmens möglichst gewahrt
ist. Besteht zwischen den derzeitigen Gesellschaftern und etwaigen
Rechtsnachfolgern der heutigen Gesellschafter eine
Meinungsverschiedenheit über den Sinn einzelner Vertragspunkte, so
hat die Ansicht der Altgesellschafter, sofern sie einhellig ist,
als dem Vertragswillen entsprechend zu gelten.</w:t>
      </w:r>
    </w:p>
    <w:p>
      <w:pPr>
        <w:widowControl w:val="on"/>
        <w:pBdr/>
        <w:spacing w:before="140" w:after="240" w:line="288" w:lineRule="auto"/>
        <w:ind w:left="0" w:right="0"/>
        <w:jc w:val="left"/>
      </w:pPr>
      <w:r>
        <w:rPr>
          <w:rFonts w:ascii="Arial" w:hAnsi="Arial" w:eastAsia="Arial" w:cs="Arial"/>
          <w:color w:val="000000"/>
          <w:sz w:val="20"/>
          <w:szCs w:val="20"/>
        </w:rPr>
        <w:t xml:space="preserve">Diesen Vertrag ergänzende oder abändernde mündliche
Vereinbarungen oder Nebenabreden bestehen nicht. Änderungen oder
Ergänzungen dieses Vertrages bedürfen zu ihrer Wirksamkeit der
Einhaltung der Schriftform.</w:t>
      </w:r>
    </w:p>
    <w:p>
      <w:pPr>
        <w:widowControl w:val="on"/>
        <w:pBdr/>
        <w:spacing w:before="140" w:after="240" w:line="288" w:lineRule="auto"/>
        <w:ind w:left="0" w:right="0"/>
        <w:jc w:val="left"/>
      </w:pPr>
      <w:r>
        <w:rPr>
          <w:rFonts w:ascii="Arial" w:hAnsi="Arial" w:eastAsia="Arial" w:cs="Arial"/>
          <w:color w:val="000000"/>
          <w:sz w:val="20"/>
          <w:szCs w:val="20"/>
        </w:rPr>
        <w:t xml:space="preserve">Auf diesen Vertrag ist ausschließlich österreichisches Recht
anwendbar unter Ausschluss der Verweisungsnormen.</w:t>
      </w:r>
    </w:p>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Kunibert Kochlöffel</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Berthold Bratpfanne</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Sebastian Sektflöte</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78243696" w:name="note1"/>
            <w:bookmarkEnd w:id="78243696"/>
            <w:bookmarkStart w:id="7586814287776" w:name="note1"/>
            <w:r>
              <w:rPr>
                <w:rFonts w:ascii="Arial" w:hAnsi="Arial" w:eastAsia="Arial" w:cs="Arial"/>
                <w:b/>
                <w:bCs/>
                <w:color w:val="000000"/>
                <w:position w:val="0"/>
                <w:sz w:val="20"/>
                <w:szCs w:val="20"/>
              </w:rPr>
              <w:t xml:space="preserve">[1]</w:t>
            </w:r>
            <w:bookmarkEnd w:id="7586814287776"/>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Ausgangssituation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Kunibert Kochlöffel, Berthold Bratpfanne und Sebastian Sektflöte
sind drei Gastronomen (Inhaber einer Gewerbeberechtigung für das
reglementierte Gewerbe „Gastgewerbe“ iSd § 94 Z 26 der
Gewerbeordnung); jeder von ihnen betreibt in Wien ein bekanntes
(gut frequentiertes) Gastronomieunternehmen in Form eines
Restaurants.</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Unsere Protagonisten haben erkannt, dass in Wien Bedarf an einem
(weiteren) professionell geführten Nachtklub besteht; auf Basis
dieser Feststellung haben sie die nachstehende Strategie
entwickelt:</w:t>
            </w:r>
          </w:p>
          <w:p>
            <w:pPr>
              <w:numPr>
                <w:ilvl w:val="0"/>
                <w:numId w:val="751324574"/>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Jeder von ihnen soll sein eigenes Gastronomieunternehmen weiter
betreiben.</w:t>
            </w:r>
          </w:p>
          <w:p>
            <w:pPr>
              <w:numPr>
                <w:ilvl w:val="0"/>
                <w:numId w:val="751324574"/>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Die drei Gastronomen wollen jedoch zum Zweck des Betriebes
eines (ihrem gewohnten professionellen Niveau entsprechenden)
Nachtklubs in organisierter Form zusammenarbeiten.</w:t>
            </w:r>
          </w:p>
          <w:p>
            <w:pPr>
              <w:numPr>
                <w:ilvl w:val="0"/>
                <w:numId w:val="751324574"/>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Diese punktuelle Kooperation soll im Rahmen einer Gesellschaft
erfolgen,
</w:t>
            </w:r>
          </w:p>
          <w:p>
            <w:pPr>
              <w:numPr>
                <w:ilvl w:val="1"/>
                <w:numId w:val="751324574"/>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die es den drei Gastronomen ermöglicht, gegenüber den
Nachtklub-Kunden unter einem gemeinsamen Namen und mit einem
gemeinsamen Logo aufzutreten,</w:t>
            </w:r>
          </w:p>
          <w:p>
            <w:pPr>
              <w:numPr>
                <w:ilvl w:val="1"/>
                <w:numId w:val="751324574"/>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die aber keinen großen administrativen Aufwand erfordert.</w:t>
            </w:r>
          </w:p>
          <w:p>
            <w:pPr>
              <w:numPr>
                <w:ilvl w:val="0"/>
                <w:numId w:val="751324574"/>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Da der Betrieb eines Nachtklubs eine eigene Betriebsstätte,
eigenes Personal und sonstige Aufwendungen erforderlich macht, soll
die Gesellschaft mit eigenen Mitteln ausgestattet werden.</w:t>
            </w:r>
          </w:p>
          <w:p>
            <w:pPr>
              <w:numPr>
                <w:ilvl w:val="0"/>
                <w:numId w:val="751324574"/>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Die Gastronomen sind es als Einzelunternehmer gewohnt, für
Verbindlichkeiten aus ihrem Betrieb persönlich unbeschränkt zu
haften, die Übernahme einer derartigen Haftung für die im Rahmen
der Gesellschaft entstehenden Verbindlichkeiten stört sie daher
nicht.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Als Resultat dieser Erwägungen beschließen die drei Gastronomen
eine Gesellschaft bürgerlichen Rechts zu gründen.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Diese GesbR soll eine „Außengesellschaft“ iSd § 1176
Abs 1 erster Satz ABGB sei, das heißt, die Gesellschafter
sollen im Rechtsverkehr (gegenüber Dritten wie etwa Gästen oder
Lieferanten) gemeinschaftlich auftreten. (Das Gegenteil wäre der
Fall einer GesbR als einer reinen Innengesellschaft, bei welcher
die gesellschaftliche Kooperation auf das interne Verhältnis der
Gesellschafter beschränkt und damit diese Kooperation für
Außenstehende gar nicht erkennbar ist.)</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43268565" w:name="note2"/>
            <w:bookmarkEnd w:id="43268565"/>
            <w:bookmarkStart w:id="1951026427363" w:name="note2"/>
            <w:r>
              <w:rPr>
                <w:rFonts w:ascii="Arial" w:hAnsi="Arial" w:eastAsia="Arial" w:cs="Arial"/>
                <w:b/>
                <w:bCs/>
                <w:color w:val="000000"/>
                <w:position w:val="0"/>
                <w:sz w:val="20"/>
                <w:szCs w:val="20"/>
              </w:rPr>
              <w:t xml:space="preserve">[2]</w:t>
            </w:r>
            <w:bookmarkEnd w:id="1951026427363"/>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In der Präambel sollten die für den Vertrag wesentlichen
Eigenschaften der Vertragsparteien und die Motive für den
Vertragsabschluss angeführt werden; diese Informationen können bei
der Interpretation des Vertrages hilfreich sein.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GesbR (Kernbestimmungen betreffend diese Rechtsform finden
sich in den §§ 1175 bis 1216e ABGB) ist gem § 1175
ABGB eine von mindestens zwei Personen durch Vertrag errichtete
Gesellschaft; scheidet der vorletzte Gesellschafter aus, so kann
die Gesellschaft als eine solche nicht weiterbestehen (vgl
§ 1215 ABGB). Die GesbR bedarf daher der ständigen
Mitgliedschaft von mindestens zwei Personen.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GesbR wird durch einen Vertrag der Gesellschafter gegründet,
der an sich keinen Formvorschriften unterliegt (solche könnten sich
aber aus Spezialnormen für bestimmte Rechtsgebiete ergeben); eine
Eintragung der Gesellschaft in das Firmenbuch ist weder notwendig,
noch möglich.</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GesbR ist nach § 1175 Abs 2 ABGB nicht rechtsfähig
(sie ist weder eine rechtsfähige Gesamthandschaft wie die OG, noch
eine juristische Person wie die GmbH); die GesbR als Gesellschaft
kann daher kein Eigentum haben, nicht im Grundbuch, Patentregister,
Markenregister etc eingetragen sein, niemanden etwas schulden und
im Prozess weder als Klägerin, noch als Beklagte auftreten. Die
eigentlichen (rechtlichen) Träger jener Rechte und
Verbindlichkeiten, die wirtschaftlich der GesbR zugeordnet werden,
sind die Gesellschafter (das Grundstück der „Meier &amp; Müller
GesbR“ steht zB im grundbücherlichen Miteigentum von Hans Meier und
Fritz Müller).</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gesetzlichen Vorschriften betreffend die GesbR sind –
namentlich im Bereich der Beziehungen der Gesellschafter
untereinander – weitgehend dispositiv (sodass etwa
Einlagenverpflichtungen, Geschäftsführungsbefugnis,
Gewinnverteilung und Entnahmerecht im Gesellschaftsvertrag
abweichend vom gesetzlichen Leitmodell geregelt werden können);
nicht durch Vertrag unter den Gesellschaftern ausgeschlossen werden
kann die Anwendung von Bestimmungen, die dritte Personen schützen
sollen, wie beispielsweise § 1197 Abs 2 ABGB betreffend
die Vertretung bei der unternehmerisch tätigen Außengesellschaft
bürgerlichen Rechts.</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Hinsichtlich der Frage, ob die Verwendung der Rechtsform der
GesbR stets zulässig ist, muss insbesondere auf § 8 Abs 3
UGB verwiesen werden, der anordnet, dass dann, wenn</w:t>
            </w:r>
          </w:p>
          <w:p>
            <w:pPr>
              <w:numPr>
                <w:ilvl w:val="0"/>
                <w:numId w:val="93681132"/>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mehrere Personen ein Unternehmen in der Rechtsform einer GesbR
betreiben und</w:t>
            </w:r>
          </w:p>
          <w:p>
            <w:pPr>
              <w:numPr>
                <w:ilvl w:val="0"/>
                <w:numId w:val="93681132"/>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diese Gesellschaft den Schwellwert des § 189 UGB (also die
Umsatzerlös-Grenze, jenseits deren Rechnungslegungspflicht gemäß
dem Dritten Buch des UGB besteht) überschreitet,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Gesellschafter verpflichtet sind, diese Gesellschaft als
Offene Gesellschaft oder als Kommanditgesellschaft in das
Firmenbuch eintragen zu lassen (anders ausgedrückt: der Betrieb
eines die Umsatzerlös-Grenze des § 189 UGB überschreitenden
Unternehmens in der Rechtsform der GesbR ist verboten).</w:t>
            </w:r>
          </w:p>
          <w:p>
            <w:pPr>
              <w:widowControl w:val="on"/>
              <w:pBdr/>
              <w:spacing w:before="0" w:after="0" w:line="288" w:lineRule="auto"/>
              <w:ind w:left="0" w:right="0"/>
              <w:jc w:val="left"/>
              <w:textAlignment w:val="top"/>
            </w:pPr>
            <w:hyperlink w:anchor="link2"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98473849" w:name="note3"/>
            <w:bookmarkEnd w:id="98473849"/>
            <w:bookmarkStart w:id="4533018997094" w:name="note3"/>
            <w:r>
              <w:rPr>
                <w:rFonts w:ascii="Arial" w:hAnsi="Arial" w:eastAsia="Arial" w:cs="Arial"/>
                <w:b/>
                <w:bCs/>
                <w:color w:val="000000"/>
                <w:position w:val="0"/>
                <w:sz w:val="20"/>
                <w:szCs w:val="20"/>
              </w:rPr>
              <w:t xml:space="preserve">[3]</w:t>
            </w:r>
            <w:bookmarkEnd w:id="4533018997094"/>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Bei Kunibert Kochlöffel, Berthold Bratpfanne und Sebastian
Sektflöte handelt es sich um natürliche Personen, sie können daher
Gesellschafter einer Gesellschaft bürgerlichen Rechts sein;
ebenfalls als Gesellschafter kämen juristische Personen (etwa die
„Gastronomie GmbH“ oder die „Heurigen AG“) und vom Gesetzgeber mit
Rechtsfähigkeit ausgestattete sonstige Organisationen
(beispielsweise die „Meier &amp; Müller OG“ oder die „Kochlöffel
KG“) infrage.</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Nicht Gesellschafterin einer GesbR kann dagegen eine andere
GesbR sein, da der Gesellschaft bürgerlichen Rechts die
Rechtsfähigkeit fehlt und sie daher als solche weder Rechte
erwerben, noch Verbindlichkeiten eingehen kann (wie Anmerkung 1).
Dieser Umstand hätte im vorliegenden Fall zB dann Bedeutung, wenn
die drei Gastronomen auf die Idee kämen, ihre „Mausefalle
Nachtklub-Betriebs-GesbR“ mit der von drei Barmixern gebildeten
„Spätabends-GesbR“ zu vereinen; einer derartigen GesbR könnten als
Gesellschafter</w:t>
            </w:r>
          </w:p>
          <w:p>
            <w:pPr>
              <w:numPr>
                <w:ilvl w:val="0"/>
                <w:numId w:val="886376710"/>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die sechs natürlichen Personen (unsere drei Gastronomen und die
drei Barmixer) angehören,</w:t>
            </w:r>
          </w:p>
          <w:p>
            <w:pPr>
              <w:numPr>
                <w:ilvl w:val="0"/>
                <w:numId w:val="886376710"/>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nicht aber die beiden erstgenannten Gesellschaften bürgerlichen
Rechts.</w:t>
            </w:r>
          </w:p>
          <w:p>
            <w:pPr>
              <w:widowControl w:val="on"/>
              <w:pBdr/>
              <w:spacing w:before="0" w:after="0" w:line="288" w:lineRule="auto"/>
              <w:ind w:left="0" w:right="0"/>
              <w:jc w:val="left"/>
              <w:textAlignment w:val="top"/>
            </w:pPr>
            <w:hyperlink w:anchor="link3"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35977532" w:name="note4"/>
            <w:bookmarkEnd w:id="35977532"/>
            <w:bookmarkStart w:id="1313669876641" w:name="note4"/>
            <w:r>
              <w:rPr>
                <w:rFonts w:ascii="Arial" w:hAnsi="Arial" w:eastAsia="Arial" w:cs="Arial"/>
                <w:b/>
                <w:bCs/>
                <w:color w:val="000000"/>
                <w:position w:val="0"/>
                <w:sz w:val="20"/>
                <w:szCs w:val="20"/>
              </w:rPr>
              <w:t xml:space="preserve">[4]</w:t>
            </w:r>
            <w:bookmarkEnd w:id="1313669876641"/>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Obwohl der Gesellschaftsvertrag einer GesbR grundsätzlich keinen
Formvorschriften unterliegt und sogar stillschweigend abgeschlossen
werden könnte, empfiehlt es sich, eine ausdrückliche und
schriftliche Erklärung der Vergesellschaftung als GesbR
vorzunehmen:</w:t>
            </w:r>
          </w:p>
          <w:p>
            <w:pPr>
              <w:numPr>
                <w:ilvl w:val="0"/>
                <w:numId w:val="648807595"/>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Einerseits wird durch eine derartige Erklärung expressis verbis
festgehalten, dass die Errichtung einer Gesellschaft beabsichtigt
ist und nicht etwa eine bloß tatsächliche Zusammenarbeit ohne
rechtliche Verbindlichkeit.</w:t>
            </w:r>
          </w:p>
          <w:p>
            <w:pPr>
              <w:numPr>
                <w:ilvl w:val="0"/>
                <w:numId w:val="648807595"/>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Andererseits kann durch die ausdrückliche Nennung der
Rechtsform der GesbR ein (späterer) Streit darüber vermieden
werden, ob tatsächlich eine GesbR und nicht etwa eine Offene
Gesellschaft errichtet werden sollte.</w:t>
            </w:r>
          </w:p>
          <w:p>
            <w:pPr>
              <w:widowControl w:val="on"/>
              <w:pBdr/>
              <w:spacing w:before="0" w:after="0" w:line="288" w:lineRule="auto"/>
              <w:ind w:left="0" w:right="0"/>
              <w:jc w:val="left"/>
              <w:textAlignment w:val="top"/>
            </w:pPr>
            <w:hyperlink w:anchor="link4"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75292034" w:name="note5"/>
            <w:bookmarkEnd w:id="75292034"/>
            <w:bookmarkStart w:id="8938382324778" w:name="note5"/>
            <w:r>
              <w:rPr>
                <w:rFonts w:ascii="Arial" w:hAnsi="Arial" w:eastAsia="Arial" w:cs="Arial"/>
                <w:b/>
                <w:bCs/>
                <w:color w:val="000000"/>
                <w:position w:val="0"/>
                <w:sz w:val="20"/>
                <w:szCs w:val="20"/>
              </w:rPr>
              <w:t xml:space="preserve">[5]</w:t>
            </w:r>
            <w:bookmarkEnd w:id="8938382324778"/>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Begriff „Innengesellschaft“ wird im Gegensatz zu
„Außengesellschaft“ verwendet, um den Umstand zu bezeichnen, dass
das betreffende Organisationsgebilde nicht nach außen (gegenüber
Dritten) als Gesellschaft auftritt, sondern nur im Verhältnis der
Gesellschafter zueinander. Das bedeutet, dass die Gesellschaft nach
außen hin nicht als solche verpflichtet wird, da nur jeweils einer
der Gesellschafter im eigenen Namen, also nicht im Namen der
Gesellschaft nach außen auftritt. Es findet keine Vertretung der
Innengesellschaft nach außen statt.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Zu beachten ist zunächst, dass das Vertragsmuster von
„Bezeichnung“ bzw „Name“ der Gesellschaft spricht, nicht von
„Firma“. Das hat seinen Grund darin, dass</w:t>
            </w:r>
          </w:p>
          <w:p>
            <w:pPr>
              <w:numPr>
                <w:ilvl w:val="0"/>
                <w:numId w:val="785680780"/>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die Firma der in das Firmenbuch eingetragene Name eines
Unternehmers ist, unter dem dieser seine Geschäfte betreibt und die
Unterschrift abgibt (vgl § 17 Abs 1 UWG),</w:t>
            </w:r>
          </w:p>
          <w:p>
            <w:pPr>
              <w:numPr>
                <w:ilvl w:val="0"/>
                <w:numId w:val="785680780"/>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eine GesbR aber mangels Rechtsfähigkeit nicht in das Firmenbuch
eingetragen werden und kein Unternehmer sein kann.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(Für Computerbegeisterte: Die Bezeichnung einer GesbR kann
gewissermaßen als eine Variable angesehen werden, welche die
Gesamtheit aller Gesellschafter dieser GesbR repräsentiert, wobei
die Gesellschafter ihrerseits die Träger der betreffenden Rechte
und Pflichten sind.)</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Wenn die Gesellschafter unter einem gemeinsamen Namen auftreten,
muss dieser nach dem Gesetz (vgl § 1177 ABGB)</w:t>
            </w:r>
          </w:p>
          <w:p>
            <w:pPr>
              <w:numPr>
                <w:ilvl w:val="0"/>
                <w:numId w:val="454083975"/>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auf das Bestehen einer solchen Gesellschaft hindeuten,</w:t>
            </w:r>
          </w:p>
          <w:p>
            <w:pPr>
              <w:numPr>
                <w:ilvl w:val="0"/>
                <w:numId w:val="454083975"/>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zur Kennzeichnung der Gesellschaft geeignet sein und</w:t>
            </w:r>
          </w:p>
          <w:p>
            <w:pPr>
              <w:numPr>
                <w:ilvl w:val="0"/>
                <w:numId w:val="454083975"/>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Unterscheidungskraft besitzen.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Name darf über die Verhältnisse der Gesellschaft nicht in
die Irre führen.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Wer in Angelegenheiten der Gesellschaft für alle Gesellschafter
gemeinsam auftritt, hat jedem, der ein rechtliches Interesse daran
hat, die Identität und die Anschrift der Gesellschafter
offenzulegen.</w:t>
            </w:r>
          </w:p>
          <w:p>
            <w:pPr>
              <w:widowControl w:val="on"/>
              <w:pBdr/>
              <w:spacing w:before="0" w:after="0" w:line="288" w:lineRule="auto"/>
              <w:ind w:left="0" w:right="0"/>
              <w:jc w:val="left"/>
              <w:textAlignment w:val="top"/>
            </w:pPr>
            <w:hyperlink w:anchor="link5"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49312556" w:name="note6"/>
            <w:bookmarkEnd w:id="49312556"/>
            <w:bookmarkStart w:id="1830720585052" w:name="note6"/>
            <w:r>
              <w:rPr>
                <w:rFonts w:ascii="Arial" w:hAnsi="Arial" w:eastAsia="Arial" w:cs="Arial"/>
                <w:b/>
                <w:bCs/>
                <w:color w:val="000000"/>
                <w:position w:val="0"/>
                <w:sz w:val="20"/>
                <w:szCs w:val="20"/>
              </w:rPr>
              <w:t xml:space="preserve">[6]</w:t>
            </w:r>
            <w:bookmarkEnd w:id="1830720585052"/>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Da die Gesellschaft keinen erheblichen administrativen Aufwand
verursachen soll, ist der Sitz der GesbR identisch mit der Adresse
des Gesellschafters Kunibert Kochlöffel.</w:t>
            </w:r>
          </w:p>
          <w:p>
            <w:pPr>
              <w:widowControl w:val="on"/>
              <w:pBdr/>
              <w:spacing w:before="0" w:after="0" w:line="288" w:lineRule="auto"/>
              <w:ind w:left="0" w:right="0"/>
              <w:jc w:val="left"/>
              <w:textAlignment w:val="top"/>
            </w:pPr>
            <w:hyperlink w:anchor="link6"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8282884" w:name="note7"/>
            <w:bookmarkEnd w:id="8282884"/>
            <w:bookmarkStart w:id="8587386974057" w:name="note7"/>
            <w:r>
              <w:rPr>
                <w:rFonts w:ascii="Arial" w:hAnsi="Arial" w:eastAsia="Arial" w:cs="Arial"/>
                <w:b/>
                <w:bCs/>
                <w:color w:val="000000"/>
                <w:position w:val="0"/>
                <w:sz w:val="20"/>
                <w:szCs w:val="20"/>
              </w:rPr>
              <w:t xml:space="preserve">[7]</w:t>
            </w:r>
            <w:bookmarkEnd w:id="8587386974057"/>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Während der in der Präambel angeführte „Zweck“ der Gesellschaft
die Absichten der Gesellschaftsgründer allgemein-abstrakt
umschreibt, benennt der „Gegenstand des Unternehmens“ konkrete
Tätigkeiten, die zur Verwirklichung dieser Absichten dienen
sollen.</w:t>
            </w:r>
          </w:p>
          <w:p>
            <w:pPr>
              <w:widowControl w:val="on"/>
              <w:pBdr/>
              <w:spacing w:before="0" w:after="0" w:line="288" w:lineRule="auto"/>
              <w:ind w:left="0" w:right="0"/>
              <w:jc w:val="left"/>
              <w:textAlignment w:val="top"/>
            </w:pPr>
            <w:hyperlink w:anchor="link7"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29268314" w:name="note8"/>
            <w:bookmarkEnd w:id="29268314"/>
            <w:bookmarkStart w:id="6214410354462" w:name="note8"/>
            <w:r>
              <w:rPr>
                <w:rFonts w:ascii="Arial" w:hAnsi="Arial" w:eastAsia="Arial" w:cs="Arial"/>
                <w:b/>
                <w:bCs/>
                <w:color w:val="000000"/>
                <w:position w:val="0"/>
                <w:sz w:val="20"/>
                <w:szCs w:val="20"/>
              </w:rPr>
              <w:t xml:space="preserve">[8]</w:t>
            </w:r>
            <w:bookmarkEnd w:id="6214410354462"/>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Dauer des Gesellschaftsverhältnisses kann grundsätzlich auf
dreierlei Weise geregelt sein: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Gesellschaft auf bestimmte Zeit: Der Gesellschaftsvertrag nennt
eine Dauer (Frist), für die die betreffende GesbR errichtet wird
(zB „auf fünf Jahre“), oder einen Endzeitpunkt (zB „bis zum …
[Datum]“); vgl § 1208 Z 3 ABGB.</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Gesellschaft für ein bestimmtes Projekt: Im Gesellschaftsvertrag
wird ein konkretes Projekt definiert, für dessen Realisierung die
Gesellschaft ausschließlich dienen soll (zB „Die Gesellschaft dient
zur Aufführung des Bauwerks X.“); „für diese Situation sieht das
Gesetz vor, dass die GesbR sich von selbst auflöst, wenn das
unternommene Geschäft vollendet“ oder „nicht mehr fortzuführen“
ist.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Gesellschaft auf unbestimmte Zeit: Der Gesellschaftsvertrag
sieht keine zeitliche Einschränkung vor (zB „Die Gesellschaft wird
auf unbestimmte Zeit errichtet.“); für diesen Fall sieht das Gesetz
die Möglichkeit einer ordentlichen (keine besonderen Gründe
voraussetzenden) Kündigung vor: § 1209 ABGB legt fest, dass
dann, wenn die Gesellschaft für unbestimmte Zeit eingegangen worden
ist, jeder Gesellschafter das Recht hat, den Gesellschaftsvertrag
aufzukündigen; die Kündigung muss für den Schluss eines
Geschäftsjahres erfolgen und mindestens sechs Monate vor diesem
Zeitpunkt stattfinden; eine Vereinbarung, durch die das
Kündigungsrecht ausgeschlossen oder in anderer Weise als durch
angemessene Verlängerung der Kündigungsfrist erschwert wird, ist
nichtig; die Kündigung löst die Gesellschaft als eine solche auf
(„Auflösungskündigung“).</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Da Kunibert Kochlöffel, Berthold Bratpfanne und Sebastian
Sektflöte ihre Zusammenarbeit weder befristen, noch auf ein
konkretes Projekt beschränken wollen, wird im Vertragsmuster das
Modell der Gesellschaft auf unbestimmte Zeit gewählt.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Hier ist darauf hinzuweisen, dass grundsätzlich eine Kündigung
in zwei Formen gestaltet sein kann:</w:t>
            </w:r>
          </w:p>
          <w:p>
            <w:pPr>
              <w:numPr>
                <w:ilvl w:val="0"/>
                <w:numId w:val="571763597"/>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Als Austrittskündigung (der kündigende Gesellschafter scheidet
aus, die GesbR wird unter den verbleibenden Gesellschaftern
fortgesetzt) oder</w:t>
            </w:r>
          </w:p>
          <w:p>
            <w:pPr>
              <w:numPr>
                <w:ilvl w:val="0"/>
                <w:numId w:val="571763597"/>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Als Auflösungskündigung (die Kündigung durch einen
Gesellschafter bewirkt die Auflösung der Gesellschaft als einer
solchen)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gesetzlich vorgesehene Kündigung des Paragraphen 1209 ABGB
stellt eine Auflösungskündigung dar, welche die Auflösung der GesbR
als eines gesellschaftsrechtlichen Organisationskörpers zur Folge
hat. Wenn diese Konsequenz nicht gewünscht wird, sondern dem
Gesellschafter die Austrittskündigung eingeräumt werden soll, dann
muss dies im Gesellschaftsvertrag vorgesehen werden (beachten Sie
die Variantengestaltung im Vertragsmuster).</w:t>
            </w:r>
          </w:p>
          <w:p>
            <w:pPr>
              <w:widowControl w:val="on"/>
              <w:pBdr/>
              <w:spacing w:before="0" w:after="0" w:line="288" w:lineRule="auto"/>
              <w:ind w:left="0" w:right="0"/>
              <w:jc w:val="left"/>
              <w:textAlignment w:val="top"/>
            </w:pPr>
            <w:hyperlink w:anchor="link8"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82363191" w:name="note9"/>
            <w:bookmarkEnd w:id="82363191"/>
            <w:bookmarkStart w:id="1472923919765" w:name="note9"/>
            <w:r>
              <w:rPr>
                <w:rFonts w:ascii="Arial" w:hAnsi="Arial" w:eastAsia="Arial" w:cs="Arial"/>
                <w:b/>
                <w:bCs/>
                <w:color w:val="000000"/>
                <w:position w:val="0"/>
                <w:sz w:val="20"/>
                <w:szCs w:val="20"/>
              </w:rPr>
              <w:t xml:space="preserve">[9]</w:t>
            </w:r>
            <w:bookmarkEnd w:id="1472923919765"/>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Zum Gesellschaftsvermögen gehören das der Gesellschaft gewidmete
Eigentum, die sonstigen gesellschaftsbezogenen Sachenrechte, die
gesellschaftsbezogenen Vertragsverhältnisse, Forderungen und
Verbindlichkeiten und die gesellschaftsbezogenen
Immaterialgüterrechte sowie der jeweils daraus verschaffte Nutzen,
die daraus gewonnenen Früchte und alles, was anstelle bestehender
Vermögenswerte zufließt.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Vom Gesellschaftsvermögen zu unterscheiden ist das sonstige
Vermögen der einzelnen Gesellschafter. Gegen eine Forderung, die
zum Gesellschaftsvermögen gehört, kann der Schuldner nicht mit
einer ihm gegen einen einzelnen Gesellschafter zustehenden
Forderung aufrechnen.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Gesellschaftsvertrag stellt einen Titel für die Bildung und
den Erwerb von Gesellschaftsvermögen dar. Dessen Einbringung bedarf
der jeweils allgemein erforderlichen Übergabe oder Verfügung.</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Wenn nach dem Gesellschaftsvertrag das ganze Vermögen
einzubringen ist, so ist darunter nur das gegenwärtige zu
verstehen. Soll aber auch das künftige Vermögen eingebracht werden,
so ist darunter nicht das geerbte oder das geschenkte zu
verstehen.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Soweit nichts anderes vereinbart ist, stehen körperliche Sachen,
die von Gesellschaftern in das Gesellschaftsvermögen übertragen
oder für das Gesellschaftsvermögen erworben worden sind, im
Miteigentum der Gesellschafter; unkörperliche Sachen, insbesondere
schuldrechtliche Forderungen, sind den Gesellschaftern zur gesamten
Hand zugeordnet.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Im Gesellschaftsvertrag können der Gesellschaft Sachen auch bloß
zum Gebrauch zur Verfügung gestellt oder im Innenverhältnis so
behandelt werden, als ob sie allen gemeinsam gehörten.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Als Einlagen der Gesellschafter kommen vermögenswerte Leistungen
(zB Geld als Bareinlage oder eine Maschine bzw ein Kraftfahrzeug
als Sacheinlage) in Betracht. Die Einbringung der Einlagen kann
erfolgen:</w:t>
            </w:r>
          </w:p>
          <w:p>
            <w:pPr>
              <w:numPr>
                <w:ilvl w:val="0"/>
                <w:numId w:val="666957527"/>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Quoad dominium, das heißt dergestalt, dass die eingebrachten
Vermögensgegenstände in das Gesellschaftsvermögen (in das
Miteigentum der am Hauptstammt beteiligten Gesellschafter)
übergehen (Beispiel: der Gesellschafter Müller bringt seine
Kaffeemaschine quoad dominium ein; damit wird sie gemeinsames
Eigentum der Gesellschafter)</w:t>
            </w:r>
          </w:p>
          <w:p>
            <w:pPr>
              <w:numPr>
                <w:ilvl w:val="0"/>
                <w:numId w:val="666957527"/>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Quoad usum, also so, dass der betreffende Gegenstand nicht ins
Miteigentum übertragen, sondern der Gesellschaft bloß zur Nutzung
überlassen wird (Beispiel: der Gesellschafter Müller bringt seine
Kaffeemaschine quoad usum ein; damit bleibt sie in seinem
alleinigen Eigentum, darf aber von der Gesellschaft genutzt
werden)</w:t>
            </w:r>
          </w:p>
          <w:p>
            <w:pPr>
              <w:numPr>
                <w:ilvl w:val="0"/>
                <w:numId w:val="666957527"/>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Quoad sortem, was bedeutet, dass der betreffende Gegenstand
sachenrechtlich im alleinigen Eigentum des einbringenden
Gesellschafters verbleibt, aber intern (unter den Gesellschaftern)
so behandelt wird, als stünde er im Miteigentum der am Hauptstamm
beteiligten Gesellschafter (Beispiel: der Gesellschafter Müller
bringt seine Kaffeemaschine quoad sortem ein; da er sachenrechtlich
ihr Alleineigentümer bleibt, könnte er sie an einen Dritten
verkaufen, er darf dies jedoch ohne Zustimmung der übrigen
Gesellschafter nicht tun; tut er es trotzdem, so wird er
schadenersatzpflichtig)</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Beitrag eines Gesellschafters kann sich auch auf die
Leistung von Diensten beschränken (Arbeitsgesellschafter). Einem
solchen Gesellschafter kann im Gesellschaftsvertrag eine
Beteiligungsquote zuerkannt werden, so als ob er einen
Kapitalanteil geleistet hätte. Andernfalls steht ihm für seine
Mitwirkung bloß ein angemessener Betrag des Jahresgewinns zu.</w:t>
            </w:r>
          </w:p>
          <w:p>
            <w:pPr>
              <w:widowControl w:val="on"/>
              <w:pBdr/>
              <w:spacing w:before="0" w:after="0" w:line="288" w:lineRule="auto"/>
              <w:ind w:left="0" w:right="0"/>
              <w:jc w:val="left"/>
              <w:textAlignment w:val="top"/>
            </w:pPr>
            <w:hyperlink w:anchor="link9"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74056864" w:name="note10"/>
            <w:bookmarkEnd w:id="74056864"/>
            <w:bookmarkStart w:id="6960316954654" w:name="note10"/>
            <w:r>
              <w:rPr>
                <w:rFonts w:ascii="Arial" w:hAnsi="Arial" w:eastAsia="Arial" w:cs="Arial"/>
                <w:b/>
                <w:bCs/>
                <w:color w:val="000000"/>
                <w:position w:val="0"/>
                <w:sz w:val="20"/>
                <w:szCs w:val="20"/>
              </w:rPr>
              <w:t xml:space="preserve">[10]</w:t>
            </w:r>
            <w:bookmarkEnd w:id="6960316954654"/>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Seit dem GesbR-Reformgesetz (also ab dem 01.01.2015) sind die
(grundsätzlich dispositiven, also durch Gesellschaftsvertrag
abänderbaren) gesetzlichen Regelungen betreffend die
Geschäftsführung bei der GesbR (vgl die §§ 1090 ff ABGB) an
jenen hinsichtlich der offenen Gesellschaft orientiert: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Steht die Geschäftsführung allen oder mehreren Gesellschaftern
zu, so ist im Rahmen der gewöhnlichen Geschäfte jeder von ihnen
allein zu handeln berechtigt („Einzelgeschäftsführungsbefugnis“);
widerspricht jedoch ein anderer geschäftsführender Gesellschafter
der Vornahme einer Handlung, so muss diese unterbleiben.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Ist im Gesellschaftsvertrag bestimmt, dass die Gesellschafter,
denen die Geschäftsführung zusteht, nur zusammen handeln können
(„Gesamtgeschäftsführungsbefugnis“), so bedarf es für jedes
Geschäft der Zustimmung aller geschäftsführenden Gesellschafter, es
sei denn, dass Gefahr im Verzug ist.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Ist vereinbart, dass ein Gesellschafter an die Weisungen der
übrigen Gesellschafter gebunden sein soll, so kann dieser
Gesellschafter von den ihm erteilten Weisungen abweichen, wenn er
den Umständen nach annehmen darf, dass die übrigen Gesellschafter
bei Kenntnis der Sachlage die Abweichung billigen würden. Er hat
jedoch die Abweichung den übrigen Gesellschaftern anzuzeigen und
ihre Entscheidung abzuwarten, wenn nicht Gefahr im Verzug ist.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Befugnis zur Geschäftsführung erstreckt sich auf alle
Handlungen, die der gewöhnliche Geschäftsbetrieb der Gesellschaft
mit sich bringt.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Zur Vornahme von Handlungen, die darüber hinausgehen
(außergewöhnliche Geschäfte) ist ein einstimmiger Beschluss aller
Gesellschafter erforderlich.</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Zur Einräumung einer Vollmacht gem § 1008 bedarf es
der Zustimmung aller geschäftsführenden Gesellschafter, es sei
denn, dass Gefahr im Verzug ist. Der Widerruf einer solchen
Vollmacht kann von jedem der zur Erteilung oder zur Mitwirkung bei
der Erteilung befugten Gesellschafter erfolgen.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Gesellschafterbeschlüsse erfordern die Zustimmung aller zur
Mitwirkung bei der Beschlussfassung berufenen Gesellschafter.</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Hat nach dem Gesellschaftsvertrag die Mehrheit der Stimmen zu
entscheiden, so bestimmt sie sich nach den abgegebenen gültigen
Stimmen. Das Stimmgewicht entspricht den Beteiligungsverhältnissen.
Sind nicht alle Gesellschafter am Kapital beteiligt, wird die
Mehrheit nach Köpfen berechnet. Arbeitsgesellschafter, denen der
Gesellschaftsvertrag einen am Wert ihrer Arbeit orientierten
Kapitalanteil zubilligt, gelten als am Kapital beteiligt.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(Festzuhalten ist, dass zur Geschäftsführung nicht jene
Angelegenheiten zählen, die die Grundlagen der GesbR bzw die
Beziehungen der Gesellschafter untereinander betreffen [zB eine
Änderung des Gesellschaftsvertrages]; bezüglich dieser so genannten
„Grundlagengeschäfte“ können Maßnahmen nur einstimmig getroffen
werden.)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Es empfiehlt sich, im Gesellschaftsvertrag für den konkreten
Fall sinnvolle Vereinbarungen zu treffen; vorstellbar wären
beispielsweise</w:t>
            </w:r>
          </w:p>
          <w:p>
            <w:pPr>
              <w:numPr>
                <w:ilvl w:val="0"/>
                <w:numId w:val="822485220"/>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die selbstständige Setzung von Geschäftsführungshandlungen
durch jeden der Gesellschafter,</w:t>
            </w:r>
          </w:p>
          <w:p>
            <w:pPr>
              <w:numPr>
                <w:ilvl w:val="0"/>
                <w:numId w:val="822485220"/>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die gemeinsame Setzung von Geschäftsführungshandlungen durch
alle oder mehrere Gesellschafter oder auch</w:t>
            </w:r>
          </w:p>
          <w:p>
            <w:pPr>
              <w:numPr>
                <w:ilvl w:val="0"/>
                <w:numId w:val="822485220"/>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die Einräumung der Geschäftsführungsbefugnis an einen
Gesellschafter allein.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Da im hiergegenständlichen Musterfall – technisch gesehen – drei
an sich selbstständige Gastronomen in einem bestimmten Bereich
gesellschaftlich organisiert zusammenarbeiten sollen und diese
Zusammenarbeit faktisch „nebenbei“ im Rahmen der jeweils eigenen
Betriebsstruktur erfolgen wird, schlägt das Vertragsmuster eine
Vereinbarung (Textvariante) vor, nach welcher</w:t>
            </w:r>
          </w:p>
          <w:p>
            <w:pPr>
              <w:numPr>
                <w:ilvl w:val="0"/>
                <w:numId w:val="849209586"/>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in den gewöhnlichen Angelegenheiten jeder Gesellschafter
einzeln zur Entscheidung befugt ist,</w:t>
            </w:r>
          </w:p>
          <w:p>
            <w:pPr>
              <w:numPr>
                <w:ilvl w:val="0"/>
                <w:numId w:val="849209586"/>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während in den außergewöhnlichen Angelegenheiten nur alle
Gesellschafter gemeinsam durch einstimmigen Beschluss entscheiden
dürfen.</w:t>
            </w:r>
          </w:p>
          <w:p>
            <w:pPr>
              <w:widowControl w:val="on"/>
              <w:pBdr/>
              <w:spacing w:before="0" w:after="0" w:line="288" w:lineRule="auto"/>
              <w:ind w:left="0" w:right="0"/>
              <w:jc w:val="left"/>
              <w:textAlignment w:val="top"/>
            </w:pPr>
            <w:hyperlink w:anchor="link10"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39831998" w:name="note11"/>
            <w:bookmarkEnd w:id="39831998"/>
            <w:bookmarkStart w:id="1236128065184" w:name="note11"/>
            <w:r>
              <w:rPr>
                <w:rFonts w:ascii="Arial" w:hAnsi="Arial" w:eastAsia="Arial" w:cs="Arial"/>
                <w:b/>
                <w:bCs/>
                <w:color w:val="000000"/>
                <w:position w:val="0"/>
                <w:sz w:val="20"/>
                <w:szCs w:val="20"/>
              </w:rPr>
              <w:t xml:space="preserve">[11]</w:t>
            </w:r>
            <w:bookmarkEnd w:id="1236128065184"/>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Ein geschäftsführender Gesellschafter ist nach dem Gesetz (vgl
§ 1194 ABGB) verpflichtet, jedem anderen Gesellschafter die
erforderlichen Nachrichten zu geben, auf Verlangen über den Stand
der Geschäfte Auskunft zu erteilen und Rechenschaft abzulegen.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Jeder Gesellschafter kann sich, auch wenn er von der
Geschäftsführung ausgeschlossen ist, von den Angelegenheiten der
Gesellschaft persönlich unterrichten, die Aufzeichnungen der
Gesellschaft einsehen und sich aus ihnen eine Abrechnung anfertigen
oder die Vorlage einer solchen Abrechnung fordern.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Eine Vereinbarung, durch die dieses Recht ausgeschlossen oder
beschränkt wird, ist unwirksam.</w:t>
            </w:r>
          </w:p>
          <w:p>
            <w:pPr>
              <w:widowControl w:val="on"/>
              <w:pBdr/>
              <w:spacing w:before="0" w:after="0" w:line="288" w:lineRule="auto"/>
              <w:ind w:left="0" w:right="0"/>
              <w:jc w:val="left"/>
              <w:textAlignment w:val="top"/>
            </w:pPr>
            <w:hyperlink w:anchor="link11"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31732569" w:name="note12"/>
            <w:bookmarkEnd w:id="31732569"/>
            <w:bookmarkStart w:id="9181377360650" w:name="note12"/>
            <w:r>
              <w:rPr>
                <w:rFonts w:ascii="Arial" w:hAnsi="Arial" w:eastAsia="Arial" w:cs="Arial"/>
                <w:b/>
                <w:bCs/>
                <w:color w:val="000000"/>
                <w:position w:val="0"/>
                <w:sz w:val="20"/>
                <w:szCs w:val="20"/>
              </w:rPr>
              <w:t xml:space="preserve">[12]</w:t>
            </w:r>
            <w:bookmarkEnd w:id="9181377360650"/>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Das Gesetz orientiert sich bei der – grundsätzlich dispositiven
– Regelung an jener für die Offene Gesellschaft: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Am Schluss jedes Geschäftsjahres wird aufgrund einer
Jahresabrechnung der Gewinn oder Verlust ermittelt und der Anteil
jedes Gesellschafters daran berechnet.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Sofern alle Gesellschafter in gleichem Ausmaß zur Mitwirkung
verpflichtet sind, wird der Gewinn und Verlust eines
Geschäftsjahres den Gesellschaftern im Verhältnis ihrer
Kapitalanteile zugewiesen. Enthält der Gesellschaftsvertrag eine
abweichende Bestimmung nur über den Anteil am Gewinn oder über den
Anteil am Verlust, so gilt sie im Zweifel für Gewinn und
Verlust.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Sind die Gesellschafter nicht in gleichem Ausmaß zur Mitwirkung
verpflichtet, so ist dies bei der Zuweisung des Gewinns angemessen
zu berücksichtigen.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Einem Arbeitsgesellschafter, dem für seine Dienste keine
Beteiligung an der Gesellschaft gewährt wird, ist ein den Umständen
nach angemessener Betrag des Jahresgewinns zuzuweisen. Der diesen
Betrag übersteigende Teil des Jahresgewinns wird sodann den
Gesellschaftern im Verhältnis ihrer Beteiligung zugewiesen.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Jeder Gesellschafter hat Anspruch auf Auszahlung seines
Gewinnanteils. Der Anspruch kann nicht geltend gemacht werden,
soweit die Auszahlung zum offenbaren Schaden der Gesellschaft
gereicht, die Gesellschafter etwas anderes beschließen oder der
Gesellschafter vereinbarungswidrig seine Einlage nicht geleistet
hat.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Im Übrigen ist ein Gesellschafter nicht befugt, ohne
Einwilligung der anderen Gesellschafter Entnahmen zu tätigen.</w:t>
            </w:r>
          </w:p>
          <w:p>
            <w:pPr>
              <w:widowControl w:val="on"/>
              <w:pBdr/>
              <w:spacing w:before="0" w:after="0" w:line="288" w:lineRule="auto"/>
              <w:ind w:left="0" w:right="0"/>
              <w:jc w:val="left"/>
              <w:textAlignment w:val="top"/>
            </w:pPr>
            <w:hyperlink w:anchor="link12"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27775118" w:name="note13"/>
            <w:bookmarkEnd w:id="27775118"/>
            <w:bookmarkStart w:id="7141654047522" w:name="note13"/>
            <w:r>
              <w:rPr>
                <w:rFonts w:ascii="Arial" w:hAnsi="Arial" w:eastAsia="Arial" w:cs="Arial"/>
                <w:b/>
                <w:bCs/>
                <w:color w:val="000000"/>
                <w:position w:val="0"/>
                <w:sz w:val="20"/>
                <w:szCs w:val="20"/>
              </w:rPr>
              <w:t xml:space="preserve">[13]</w:t>
            </w:r>
            <w:bookmarkEnd w:id="7141654047522"/>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Was die Frage der Vertretung der GesbR im Außenverhältnis
(gegenüber Dritten) angeht, sei der Ordnung halber ausdrücklich
vermerkt, dass von einem Außenverhältnis „der GesbR“ nur mit
Einschränkungen gesprochen werden kann: Da die GesbR nicht
rechtsfähig ist, können Träger der Rechte und Pflichten gegenüber
Dritten nur die Gesellschafter sein, und nur sie können klagen oder
geklagt werden. Als Außenverhältnis der GesbR ist daher jene Sphäre
anzusehen, in der die Gesellschafter in dieser ihrer Eigenschaft
(und nicht als Privatpersonen) agieren.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Für Außengesellschaften enthält das Gesetz eigene
Vertretungsbestimmungen (vgl § 1197 ABGB); da es sich hier um
einen Bereich der Außenwirkung handelt und somit die berechtigten
Interessen gutgläubiger Dritter geschützt werden müssen, sind die
Regelungen grundsätzlich zwingend (nicht durch den
Gesellschaftsvertrag zum nachteil des dritten abänderbar).</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Wenn der Gesellschaftsvertrag einer Außengesellschaft nichts
anderes vorsieht, deckt sich die Befugnis zur Vertretung aller
Gesellschafter in Gesellschaftsangelegenheiten mit der Befugnis zur
Geschäftsführung.</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Bei einer unternehmerisch tätigen Außengesellschaft werden alle
Gesellschafter aus dem Handeln eines Gesellschafters im Namen der
Gesellschaft auch dann berechtigt und verpflichtet, wenn dieser
Gesellschafter nicht, nicht allein oder nur beschränkt
vertretungsbefugt war, der Dritte den Mangel der
Vertretungsbefugnis aber weder kannte noch kennen musste. Dasselbe
gilt für nicht unternehmerisch tätige Außengesellschaften, wenn
sich die Gesellschafter als Unternehmer an der Gesellschaft
beteiligen.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Bei Gesamtvertretung genügt die Abgabe einer
gesellschaftsbezogenen Willenserklärung gegenüber einem der zur
Mitwirkung an der Vertretung befugten Gesellschafter (passive
Einzelvertretung).</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Wer, ohne Gesellschafter zu sein, mit der Vertretung in
Gesellschaftsangelegenheiten betraut wird, vertritt die
Gesellschafter nach Maßgabe der erteilten Vollmacht.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Vertretungsmacht kann einem Gesellschafter aufgrund einer
Klage aller übrigen Gesellschafter durch gerichtliche Entscheidung
entzogen werden, wenn ein wichtiger Grund vorliegt; ein solcher
Grund ist insbesondere grobe Pflichtverletzung oder Unfähigkeit zur
ordnungsgemäßen Vertretung der Gesellschaft.</w:t>
            </w:r>
          </w:p>
          <w:p>
            <w:pPr>
              <w:widowControl w:val="on"/>
              <w:pBdr/>
              <w:spacing w:before="0" w:after="0" w:line="288" w:lineRule="auto"/>
              <w:ind w:left="0" w:right="0"/>
              <w:jc w:val="left"/>
              <w:textAlignment w:val="top"/>
            </w:pPr>
            <w:hyperlink w:anchor="link13"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76504579" w:name="note14"/>
            <w:bookmarkEnd w:id="76504579"/>
            <w:bookmarkStart w:id="2596969356764" w:name="note14"/>
            <w:r>
              <w:rPr>
                <w:rFonts w:ascii="Arial" w:hAnsi="Arial" w:eastAsia="Arial" w:cs="Arial"/>
                <w:b/>
                <w:bCs/>
                <w:color w:val="000000"/>
                <w:position w:val="0"/>
                <w:sz w:val="20"/>
                <w:szCs w:val="20"/>
              </w:rPr>
              <w:t xml:space="preserve">[14]</w:t>
            </w:r>
            <w:bookmarkEnd w:id="2596969356764"/>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Für gesellschaftsbezogene Verbindlichkeiten gegenüber Dritten
haften die Gesellschafter gem § 1199 ABGB als
Gesamtschuldner, wenn mit diesen nichts anderes vereinbart ist.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Aus Rechtsgeschäften, die ein Gesellschafter auf Rechnung der
Gesellschaft, aber im eigenen Namen abschließt, wird er allein dem
Dritten gegenüber berechtigt und verpflichtet.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Wird ein Gesellschafter wegen einer gesellschaftsbezogenen
Verbindlichkeit in Anspruch genommen, so kann er Einwendungen, die
nicht in seiner Person begründet sind, nur insoweit geltend machen,
als sie von den Gesellschaftern gemeinsam erhoben werden
können.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Gesellschafter kann die Befriedigung des Gläubigers
verweigern, solange den Gesellschaftern gemeinsam das Recht
zusteht, das ihrer Verbindlichkeit zugrunde liegende Rechtsgeschäft
anzufechten oder ihre Verbindlichkeit durch Aufrechnung mit einer
fälligen Forderung zu erfüllen.</w:t>
            </w:r>
          </w:p>
          <w:p>
            <w:pPr>
              <w:widowControl w:val="on"/>
              <w:pBdr/>
              <w:spacing w:before="0" w:after="0" w:line="288" w:lineRule="auto"/>
              <w:ind w:left="0" w:right="0"/>
              <w:jc w:val="left"/>
              <w:textAlignment w:val="top"/>
            </w:pPr>
            <w:hyperlink w:anchor="link14"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58921934" w:name="note15"/>
            <w:bookmarkEnd w:id="58921934"/>
            <w:bookmarkStart w:id="9944841921217" w:name="note15"/>
            <w:r>
              <w:rPr>
                <w:rFonts w:ascii="Arial" w:hAnsi="Arial" w:eastAsia="Arial" w:cs="Arial"/>
                <w:b/>
                <w:bCs/>
                <w:color w:val="000000"/>
                <w:position w:val="0"/>
                <w:sz w:val="20"/>
                <w:szCs w:val="20"/>
              </w:rPr>
              <w:t xml:space="preserve">[15]</w:t>
            </w:r>
            <w:bookmarkEnd w:id="9944841921217"/>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Gesellschafter dürfen gem § 1187 ABGB kein der
Gesellschaft schädliches Nebengeschäft unternehmen. Für
unternehmerisch tätige Gesellschaften gelten überdies die
unternehmensrechtlichen Vorschriften über Wettbewerbsverbote und
deren Rechtsfolgen. Die Verletzung des Verbotes, ein schädliches
Nebengeschäft zu unternehmen, begründet einen Anspruch der
Gesellschaft bzw der Mitgesellschaft auf Unterlassung und bei
Verschulden auf Schadenersatz. Jedenfalls verboten sind solche
Geschäfte, durch die der Zweck der Gesellschaft beeinträchtigt
wird. Aus dem Verbot gesellschaftsschädlicher Nebengeschäfte kann
nicht abgeleitet werden, dass die Gesellschafter trotz Fehlens
einer entsprechenden Vereinbarung auch noch nach Auflösung der
Gesellschaft einem Konkurrenzverbot unterliegen (OGH 29.10.1996, 4
Ob 2275/96d).</w:t>
            </w:r>
          </w:p>
          <w:p>
            <w:pPr>
              <w:widowControl w:val="on"/>
              <w:pBdr/>
              <w:spacing w:before="0" w:after="0" w:line="288" w:lineRule="auto"/>
              <w:ind w:left="0" w:right="0"/>
              <w:jc w:val="left"/>
              <w:textAlignment w:val="top"/>
            </w:pPr>
            <w:hyperlink w:anchor="link15" w:history="1">
              <w:r>
                <w:rPr>
                  <w:rFonts w:ascii="Arial" w:hAnsi="Arial" w:eastAsia="Arial" w:cs="Arial"/>
                  <w:color w:val="006BB6"/>
                  <w:position w:val="0"/>
                  <w:sz w:val="20"/>
                  <w:szCs w:val="20"/>
                  <w:u w:val="single"/>
                </w:rPr>
                <w:t xml:space="preserve">Zurück</w:t>
              </w:r>
            </w:hyperlink>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9209586">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822485220">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666957527">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571763597">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454083975">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785680780">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648807595">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886376710">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93681132">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751324574">
    <w:multiLevelType w:val="hybridMultilevel"/>
    <w:lvl w:ilvl="0">
      <w:start w:val=""/>
      <w:numFmt w:val="bullet"/>
      <w:lvlText w:val="●"/>
      <w:lvlJc w:val="left"/>
      <w:pPr>
        <w:ind w:left="720" w:hanging="360"/>
      </w:pPr>
      <w:rPr/>
    </w:lvl>
    <w:lvl w:ilvl="1">
      <w:start w:val=""/>
      <w:numFmt w:val="bullet"/>
      <w:lvlText w:val="○"/>
      <w:lvlJc w:val="left"/>
      <w:pPr>
        <w:ind w:left="1440" w:hanging="360"/>
      </w:pPr>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894117820">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371388863">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293773962">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169130528">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709045179">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822006465">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895167280">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842028681">
    <w:multiLevelType w:val="hybridMultilevel"/>
    <w:lvl w:ilvl="0">
      <w:start w:val=""/>
      <w:numFmt w:val="bullet"/>
      <w:lvlText w:val="●"/>
      <w:lvlJc w:val="left"/>
      <w:pPr>
        <w:ind w:left="720" w:hanging="360"/>
      </w:pPr>
      <w:rPr/>
    </w:lvl>
    <w:lvl w:ilvl="1">
      <w:start w:val=""/>
      <w:numFmt w:val="bullet"/>
      <w:lvlText w:val="○"/>
      <w:lvlJc w:val="left"/>
      <w:pPr>
        <w:ind w:left="1440" w:hanging="360"/>
      </w:pPr>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430199403">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93312499">
    <w:multiLevelType w:val="hybridMultilevel"/>
    <w:lvl w:ilvl="0" w:tplc="38462963">
      <w:start w:val="1"/>
      <w:numFmt w:val="decimal"/>
      <w:lvlText w:val="%1."/>
      <w:lvlJc w:val="left"/>
      <w:pPr>
        <w:ind w:left="720" w:hanging="360"/>
      </w:pPr>
    </w:lvl>
    <w:lvl w:ilvl="1" w:tplc="38462963" w:tentative="1">
      <w:start w:val="1"/>
      <w:numFmt w:val="lowerLetter"/>
      <w:lvlText w:val="%2."/>
      <w:lvlJc w:val="left"/>
      <w:pPr>
        <w:ind w:left="1440" w:hanging="360"/>
      </w:pPr>
    </w:lvl>
    <w:lvl w:ilvl="2" w:tplc="38462963" w:tentative="1">
      <w:start w:val="1"/>
      <w:numFmt w:val="lowerRoman"/>
      <w:lvlText w:val="%3."/>
      <w:lvlJc w:val="right"/>
      <w:pPr>
        <w:ind w:left="2160" w:hanging="180"/>
      </w:pPr>
    </w:lvl>
    <w:lvl w:ilvl="3" w:tplc="38462963" w:tentative="1">
      <w:start w:val="1"/>
      <w:numFmt w:val="decimal"/>
      <w:lvlText w:val="%4."/>
      <w:lvlJc w:val="left"/>
      <w:pPr>
        <w:ind w:left="2880" w:hanging="360"/>
      </w:pPr>
    </w:lvl>
    <w:lvl w:ilvl="4" w:tplc="38462963" w:tentative="1">
      <w:start w:val="1"/>
      <w:numFmt w:val="lowerLetter"/>
      <w:lvlText w:val="%5."/>
      <w:lvlJc w:val="left"/>
      <w:pPr>
        <w:ind w:left="3600" w:hanging="360"/>
      </w:pPr>
    </w:lvl>
    <w:lvl w:ilvl="5" w:tplc="38462963" w:tentative="1">
      <w:start w:val="1"/>
      <w:numFmt w:val="lowerRoman"/>
      <w:lvlText w:val="%6."/>
      <w:lvlJc w:val="right"/>
      <w:pPr>
        <w:ind w:left="4320" w:hanging="180"/>
      </w:pPr>
    </w:lvl>
    <w:lvl w:ilvl="6" w:tplc="38462963" w:tentative="1">
      <w:start w:val="1"/>
      <w:numFmt w:val="decimal"/>
      <w:lvlText w:val="%7."/>
      <w:lvlJc w:val="left"/>
      <w:pPr>
        <w:ind w:left="5040" w:hanging="360"/>
      </w:pPr>
    </w:lvl>
    <w:lvl w:ilvl="7" w:tplc="38462963" w:tentative="1">
      <w:start w:val="1"/>
      <w:numFmt w:val="lowerLetter"/>
      <w:lvlText w:val="%8."/>
      <w:lvlJc w:val="left"/>
      <w:pPr>
        <w:ind w:left="5760" w:hanging="360"/>
      </w:pPr>
    </w:lvl>
    <w:lvl w:ilvl="8" w:tplc="38462963" w:tentative="1">
      <w:start w:val="1"/>
      <w:numFmt w:val="lowerRoman"/>
      <w:lvlText w:val="%9."/>
      <w:lvlJc w:val="right"/>
      <w:pPr>
        <w:ind w:left="6480" w:hanging="180"/>
      </w:pPr>
    </w:lvl>
  </w:abstractNum>
  <w:abstractNum w:abstractNumId="93312498">
    <w:multiLevelType w:val="hybridMultilevel"/>
    <w:lvl w:ilvl="0" w:tplc="963503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312498">
    <w:abstractNumId w:val="93312498"/>
  </w:num>
  <w:num w:numId="93312499">
    <w:abstractNumId w:val="93312499"/>
  </w:num>
  <w:num w:numId="430199403">
    <w:abstractNumId w:val="430199403"/>
  </w:num>
  <w:num w:numId="842028681">
    <w:abstractNumId w:val="842028681"/>
  </w:num>
  <w:num w:numId="895167280">
    <w:abstractNumId w:val="895167280"/>
  </w:num>
  <w:num w:numId="822006465">
    <w:abstractNumId w:val="822006465"/>
  </w:num>
  <w:num w:numId="709045179">
    <w:abstractNumId w:val="709045179"/>
  </w:num>
  <w:num w:numId="169130528">
    <w:abstractNumId w:val="169130528"/>
  </w:num>
  <w:num w:numId="293773962">
    <w:abstractNumId w:val="293773962"/>
  </w:num>
  <w:num w:numId="371388863">
    <w:abstractNumId w:val="371388863"/>
  </w:num>
  <w:num w:numId="894117820">
    <w:abstractNumId w:val="894117820"/>
  </w:num>
  <w:num w:numId="751324574">
    <w:abstractNumId w:val="751324574"/>
  </w:num>
  <w:num w:numId="93681132">
    <w:abstractNumId w:val="93681132"/>
  </w:num>
  <w:num w:numId="886376710">
    <w:abstractNumId w:val="886376710"/>
  </w:num>
  <w:num w:numId="648807595">
    <w:abstractNumId w:val="648807595"/>
  </w:num>
  <w:num w:numId="785680780">
    <w:abstractNumId w:val="785680780"/>
  </w:num>
  <w:num w:numId="454083975">
    <w:abstractNumId w:val="454083975"/>
  </w:num>
  <w:num w:numId="571763597">
    <w:abstractNumId w:val="571763597"/>
  </w:num>
  <w:num w:numId="666957527">
    <w:abstractNumId w:val="666957527"/>
  </w:num>
  <w:num w:numId="822485220">
    <w:abstractNumId w:val="822485220"/>
  </w:num>
  <w:num w:numId="849209586">
    <w:abstractNumId w:val="84920958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684158575" Type="http://schemas.openxmlformats.org/officeDocument/2006/relationships/numbering" Target="numbering.xml"/><Relationship Id="rId858957285"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