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994057" w:name="document"/>
    <w:bookmarkEnd w:id="11994057"/>
    <w:p/>
    <w:p>
      <w:pPr>
        <w:widowControl w:val="on"/>
        <w:pBdr/>
        <w:spacing w:before="0" w:after="280" w:line="240" w:lineRule="auto"/>
        <w:ind w:left="0" w:right="0"/>
        <w:jc w:val="left"/>
      </w:pPr>
      <w:r>
        <w:rPr>
          <w:rFonts w:ascii="Arial" w:hAnsi="Arial" w:eastAsia="Arial" w:cs="Arial"/>
          <w:color w:val="363A40"/>
          <w:sz w:val="24"/>
          <w:szCs w:val="24"/>
        </w:rPr>
        <w:t xml:space="preserve">Dokument-ID: 785046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Absaugeinrichtungen, Lüftungsanlagen zur Abführung
gesundheitsgefährdender Arbeitsstoffe (GKV)</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vor der erstmaligen Inbetriebnahme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1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451201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Repräsentative Messung der Absaug-/Lüftungsleistung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1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995392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995392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995392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995392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995392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einmal im Kalenderjahr, jedoch längstens im Abstand
von 15 Monaten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2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38441231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Ordnungsgemäßer Zustand</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2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6997357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46997357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46997357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46997357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46997357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ergänzende Prüfungen nach Änderungen,
Erweiterungen oder Umgestaltungen, die sich auf die
Absaug-/Lüftungsleistung auswirken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3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916700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916700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916700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916700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916700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entsprechend der allgemeinen Verpflichtung
zur Wartung und Instandhaltung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38 Abs 1 und § 17 Abs 1 ASchG,
BGBl 450/1994 idF BGBl I 56/2024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Zuständiges Wartungsorgan: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Sinngemäß:</w:t>
            </w:r>
          </w:p>
          <w:p>
            <w:pPr>
              <w:numPr>
                <w:ilvl w:val="0"/>
                <w:numId w:val="27582927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14473626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 (Messung)</w:t>
            </w:r>
          </w:p>
          <w:p>
            <w:pPr>
              <w:numPr>
                <w:ilvl w:val="0"/>
                <w:numId w:val="14473626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14473626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31 Abs 3 u § 32 Abs 4 GKV, BGBl II
253/2001 idF BGBl II 330/2024, iVm § 5 ASchG,
BGBl 450/1994 idF BGBl I 56/2024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im Betrieb/in der Arbeitsstätte: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r>
              <w:rPr>
                <w:rFonts w:ascii="Arial" w:hAnsi="Arial" w:eastAsia="Arial" w:cs="Arial"/>
                <w:color w:val="000000"/>
                <w:position w:val="0"/>
                <w:sz w:val="20"/>
                <w:szCs w:val="20"/>
                <w:shd w:val="clear" w:color="auto" w:fill="FFFFFF"/>
              </w:rPr>
              <w:br/>
              <w:t xml:space="preserve">Prüfbefunde oder Kopien für:</w:t>
            </w:r>
          </w:p>
          <w:p>
            <w:pPr>
              <w:numPr>
                <w:ilvl w:val="0"/>
                <w:numId w:val="7569364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w:t>
            </w:r>
          </w:p>
          <w:p>
            <w:pPr>
              <w:numPr>
                <w:ilvl w:val="0"/>
                <w:numId w:val="7569364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7569364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empfohlen:</w:t>
            </w:r>
          </w:p>
          <w:p>
            <w:pPr>
              <w:numPr>
                <w:ilvl w:val="0"/>
                <w:numId w:val="9514877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Bis zum Ausscheiden der Absaugeinrichtung bzw
Lüftungsanlage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GrenzwerteV 2024 (GKV)</w:t>
      </w:r>
    </w:p>
    <w:p>
      <w:pPr>
        <w:widowControl w:val="on"/>
        <w:pBdr/>
        <w:spacing w:before="140" w:after="240" w:line="288" w:lineRule="auto"/>
        <w:ind w:left="0" w:right="0"/>
        <w:jc w:val="left"/>
      </w:pPr>
      <w:r>
        <w:rPr>
          <w:rFonts w:ascii="Arial" w:hAnsi="Arial" w:eastAsia="Arial" w:cs="Arial"/>
          <w:color w:val="000000"/>
          <w:sz w:val="20"/>
          <w:szCs w:val="20"/>
        </w:rPr>
        <w:t xml:space="preserve">Die GrenzwerteV (Verordnung des Bundesministers für Arbeit und
Wirtschaft über Grenzwerte für Arbeitsstoffe sowie über gefährliche
Arbeitsstoffe [Grenzwerteverordnung 2024 – GKV]),
BGBl 253/2001 idF BGBl II 330/2024, gilt für
Arbeitsstätten, Baustellen und auswärtige Arbeitsstellen iSd
Begriffsbestimmungen des § 2 Abs 3
ArbeitnehmerInnenschutzgesetz 1994 (ASchG), BGBl 450/1994 idF
BGBl I 56/2024, bei denen gesundheitsgefährdende Arbeitsstoffe
verwendet werden. Mit der Verordnung werden die aus Sicht der
Arbeitsmedizin akzeptierbare Exposition von ArbeitnehmerInnen und
die technischen Vorkehrungen zur Vermeidung darüber hinausgehender
Belastungen festgelegt. (Anm: unter der im Folgenden verwendeten
Abkürzung „GKV“ ist die GKV in der Fassung 2024, die mit 3.
Dezember 2024 in Rechtskraft getreten ist, zu verstehen).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Allgemeines</w:t>
      </w:r>
    </w:p>
    <w:p>
      <w:pPr>
        <w:widowControl w:val="on"/>
        <w:pBdr/>
        <w:spacing w:before="140" w:after="240" w:line="288" w:lineRule="auto"/>
        <w:ind w:left="0" w:right="0"/>
        <w:jc w:val="left"/>
      </w:pPr>
      <w:r>
        <w:rPr>
          <w:rFonts w:ascii="Arial" w:hAnsi="Arial" w:eastAsia="Arial" w:cs="Arial"/>
          <w:color w:val="000000"/>
          <w:sz w:val="20"/>
          <w:szCs w:val="20"/>
        </w:rPr>
        <w:t xml:space="preserve">Arbeitsplätze sind gem § 43 Abs 2 Z 5 und 6 ASchG
mit Einrichtungen zur vollständigen Erfassung gefährlicher
Arbeitsstoffe an der Austritts- oder Entstehungsstelle und der
gefahrlosen Ableitung dieser Stoffe in Form von Lüftungsmaßnahmen
auszustatten, wenn durch andere Maßnahmen das Freiwerden
gefährlicher Gase, Dämpfe oder Schwebstoffe nicht verhindert werden
kann. Dies gilt gem § 27e Abs 4 GKV auch für Lagerräume,
wenn sich Gase oder Dämpfe, die von gefährlichen Arbeitsstoffen,
verdichteten, verflüssigten oder unter Druck gelösten Gasen, die
schwerer als Luft sind, ansammeln können.</w:t>
      </w:r>
    </w:p>
    <w:p>
      <w:pPr>
        <w:widowControl w:val="on"/>
        <w:pBdr/>
        <w:spacing w:before="140" w:after="240" w:line="288" w:lineRule="auto"/>
        <w:ind w:left="0" w:right="0"/>
        <w:jc w:val="left"/>
      </w:pPr>
      <w:r>
        <w:rPr>
          <w:rFonts w:ascii="Arial" w:hAnsi="Arial" w:eastAsia="Arial" w:cs="Arial"/>
          <w:color w:val="000000"/>
          <w:sz w:val="20"/>
          <w:szCs w:val="20"/>
        </w:rPr>
        <w:t xml:space="preserve">Gefährliche Arbeitsstoffe iSd Begriffsbestimmungen des § 40
Abs 1 ASchG sind Stoffe (Reinstoffe oder Gemische), die
zumindest einer der in § 40 Abss 2 bis 8 des 4. Abschnitts des
ASchG angeführten Kategorien an explosionsgefährlichen,
brandgefährlichen und gesundheitsgefährdenden Eigenschaften
zuzuordnen sind, oder es sich um einen biologischen Arbeitsstoff
handelt – ausgenommen es handelt sich dabei um einen Arbeitsstoff,
bei dem nach Vornahme eines Bewertungsverfahrens kein
gesundheitliches Risiko evident ist und er in die Gruppe 1 der
biologischen Arbeitsstoffe einzureihen ist – und für die gem
§ 2 Abs 1 GKV ein MAK-Wert (maximale
Arbeitsplatz-Konzentration) oder gem § 3 Abs 1 ein
TRK-Wert (technische Richtkonzentration) in der Stoffliste des
Anhanges I zur GKV ausgewiesen ist. Hierzu ist anzumerken, dass die
Stoffliste des Anhanges I zur GKV nur für Arbeitsstoffe, die als
krebserzeugend und solche, die als fortpflanzungsgefährdend
eingestuft sind – wie dies nach den Einstufungskriterien der
EU-Verordnung über die Klassifizierung, Einstufung und Verpackung
von Stoffen und Gemischen (EG) 1272/2008 (CLP-Verordnung),
ABl L 353 vom 31.12.2008, S 1 zu erfolgen hat – und für
die ein TRK-Wert festgelegt ist, die Zuordnung nach Gefahrenklasse
und Gefahrenkategorie ausweist. Die Übernahme der durch die
CLP-Verordnung etablierten Gefahrenklassen in das
Arbeitnehmerschutzrecht ist somit im 4. Abschnitt des Gesetzes mit
§ 40 ASchG erfolgt. Demnach gelten gem § 40 Abs 7
auch unter Druck stehende Gase und auf Metalle korrosiv wirkende
Stoffe als gefährliche Arbeitsstoffe iSd Arbeitnehmerschutzes. Die
GKV trifft hinsichtlich krebserzeugender Arbeitsstoffe in § 10
und für fortpflanzungsgefährdende Arbeitsstoffe in § 10a eine
für die Belange des Arbeitnehmerschutzes relevante Klassifizierung
und nähere Unterteilung.</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In § 40 Abs 8 des ASchG werden nach dem ASchG
erlassene Verordnungen aufgeführt, die in Bezug auf die
Gefahrenbezeichnungen noch nach den durch das ChemG vor
Wirksamwerden der Klassifizierungen nach der CLP-Verordnung
vorgegebenen Begriffen ausgerichtet sind und stellt diesen die mit
der CLP-V eingeführten Begriffe gegenüber oder benennt auch
Erweiterungen der einer bestimmten Gefahrenklasse zugehörigen
Gefahreneigenschaften. Auf die Wiedergabe dieser Auflistung wird
hier verzichtet.</w:t>
      </w:r>
    </w:p>
    <w:p>
      <w:pPr>
        <w:widowControl w:val="on"/>
        <w:pBdr/>
        <w:spacing w:before="140" w:after="240" w:line="288" w:lineRule="auto"/>
        <w:ind w:left="0" w:right="0"/>
        <w:jc w:val="left"/>
      </w:pPr>
      <w:r>
        <w:rPr>
          <w:rFonts w:ascii="Arial" w:hAnsi="Arial" w:eastAsia="Arial" w:cs="Arial"/>
          <w:color w:val="000000"/>
          <w:sz w:val="20"/>
          <w:szCs w:val="20"/>
        </w:rPr>
        <w:t xml:space="preserve">Für Arbeitsstoffe mit gesundheitsgefährdenden Eigenschaften sind
hierunter die in den Absätzen 4 bis 4b angeführten Einstufungen
heranzuziehen. In Abs 4a sind dabei jene Arbeitsstoffe
erfasst, die die in diesem Absatz angeführten
gesundheitsgefährdenden Eigenschaften aufweisen, deren Zuordnung zu
Gefahreneigenschaften jedoch noch nach den Kriterien erfolgte, die
vor dem Wirksamwerden der Einstufungskriterien der CLP-Verordnung
(EG) 1272/2008 anzuwenden waren. Der in dieser Bestimmung
enthaltene Verweis auf § 3 ChemG ist faktisch bedeutungslos,
da die Einstufung von Chemikalien iSd § 40 Abs 1 nur mehr
auf Basis der CLP-Verordnung zu erfolgen hat; im Übrigen wurde mit
der Novelle des ChemG BGBl I 44/2018 der § 3 des Gesetzes
mit Wirkung vom 13.07.1988 aufgehoben. Die Ausführungen des
§ 40 Abs 8 ASchG, in welchem Verordnungen auf Grundlage
des ASchG aufgezählt werden, in denen Regelungen für Arbeitsstoffe
mit gefährlichen Eigenschaften enthalten sind, die sich noch auf
die vor der CLP-Verordnung anzuwendende Klassifizierung beziehen,
sind so zu verstehen, dass für diese Arbeitsstoffe gleichfalls die
arbeitnehmerschutzrechtlichen Vorschriften für nach der
CLP-Klassifizierung eingestufte gefährliche Arbeitsstoffe gelten,
indem diesen Arbeitsstoffen die äquivalente Einstufung gem
CLP-Verordnung zugeordnet wird.</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Arbeiten, bei denen als krebserzeugend geltende Holzstäube
auftreten, s Prüfblatt „Absaugeinrichtungen, Lüftungsanlagen zur
Abführung von Holzstäuben (GKV)“.</w:t>
      </w:r>
    </w:p>
    <w:p>
      <w:pPr>
        <w:widowControl w:val="on"/>
        <w:pBdr/>
        <w:spacing w:before="140" w:after="240" w:line="288" w:lineRule="auto"/>
        <w:ind w:left="0" w:right="0"/>
        <w:jc w:val="left"/>
      </w:pPr>
      <w:r>
        <w:rPr>
          <w:rFonts w:ascii="Arial" w:hAnsi="Arial" w:eastAsia="Arial" w:cs="Arial"/>
          <w:color w:val="000000"/>
          <w:sz w:val="20"/>
          <w:szCs w:val="20"/>
        </w:rPr>
        <w:t xml:space="preserve">Dies diesbezüglichen Bestimmungen des ASchG und der GKV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2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(3) Arbeitsstätten im Sinne dieses Bundesgesetzes
sind Arbeitsstätten in Gebäuden und Arbeitsstätten im Freien.
Mehrere auf einem Betriebsgelände gelegene oder sonst im räumlichen
Zusammenhang stehende Gebäude eines Arbeitgebers zählen zusammen
als eine Arbeitsstätte. Baustellen im Sinne dieses Bundesgesetzes
sind zeitlich begrenzte oder ortsveränderliche Baustellen, an denen
Hoch- und Tiefbauarbeiten durchgeführt werden. Dazu zählen
insbesondere folgende Arbeiten: Aushub, Erdarbeiten, Bauarbeiten im
engeren Sinne, Errichtung und Abbau von Fertigbauelementen,
Einrichtung oder Ausstattung, Umbau, Renovierung, Reparatur,
Abbauarbeiten, Abbrucharbeiten, Wartung, Instandhaltungs-, Maler-
und Reinigungsarbeiten, Sanierung. Auswärtige Arbeitsstellen im
Sinne dieses Bundesgesetzes sind alle Orte außerhalb von
Arbeitsstätten, an denen andere Arbeiten als Bauarbeiten
durchgeführt werden insbesondere auch die Stellen in
Verkehrsmitteln, auf denen Arbeiten ausgeführt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(4) Arbeitsplatz im Sinne dieses Bundesgesetzes ist der
räumliche Bereich, in dem sich Arbeitnehmer bei der von ihnen
auszuübenden Tätigkeit aufhalten.</w:t>
      </w:r>
    </w:p>
    <w:p>
      <w:pPr>
        <w:widowControl w:val="on"/>
        <w:pBdr/>
        <w:spacing w:before="140" w:after="240" w:line="288" w:lineRule="auto"/>
        <w:ind w:left="0" w:right="0"/>
        <w:jc w:val="left"/>
      </w:pPr>
      <w:r>
        <w:rPr>
          <w:rFonts w:ascii="Arial" w:hAnsi="Arial" w:eastAsia="Arial" w:cs="Arial"/>
          <w:i/>
          <w:iCs/>
          <w:color w:val="000000"/>
          <w:sz w:val="20"/>
          <w:szCs w:val="20"/>
        </w:rPr>
        <w:t xml:space="preserve">(6) Arbeitsstoffe im Sinne dieses Bundesgesetzes sind alle
Stoffe, Gemische (Zubereitungen) und biologischen Agenzien, die bei
der Arbeit verwendet werden. Als „Verwenden“ gilt auch das
Gewinnen, Erzeugen, Anfallen, Entstehen, Gebrauchen, Verbrauchen,
Bearbeiten, Verarbeiten, Abfüllen, Umfüllen, Mischen, Beseitigen,
Lagern, Aufbewahren, Bereithalten zur Verwendung und das
innerbetriebliche Befördern.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43 Maßnahmen zur Gefahrenverhütung</w:t>
      </w:r>
    </w:p>
    <w:p>
      <w:pPr>
        <w:widowControl w:val="on"/>
        <w:pBdr/>
        <w:spacing w:before="140" w:after="240" w:line="288" w:lineRule="auto"/>
        <w:ind w:left="0" w:right="0"/>
        <w:jc w:val="left"/>
      </w:pPr>
      <w:r>
        <w:rPr>
          <w:rFonts w:ascii="Arial" w:hAnsi="Arial" w:eastAsia="Arial" w:cs="Arial"/>
          <w:i/>
          <w:iCs/>
          <w:color w:val="000000"/>
          <w:sz w:val="20"/>
          <w:szCs w:val="20"/>
        </w:rPr>
        <w:t xml:space="preserve">§ 43 (2) Stehen gefährliche Arbeitsstoffe in
Verwendung, haben Arbeitgeber Maßnahmen zur Gefahrenverhütung in
folgender Rangordnung zu treffen: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durch diese Maßnahmen nicht verhindert werden, daß
gefährliche Gase, Dämpfe oder Schwebstoffe frei werden, so sind
diese an ihrer Austritts- oder Entstehungsstelle vollständig zu
erfassen und anschließend ohne Gefahr für die Arbeitnehmer zu
beseitigen, soweit dies nach dem Stand der Technik möglich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Ist eine solche vollständige Erfassung nicht möglich, sind
zusätzlich zu den Maßnahmen gemäß Z 5 die dem Stand der
Technik entsprechenden Lüftungsmaßnahmen zu treffen.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27e Lagerung von gefährlichen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27e (4) Räume, in denen Behälter gelagert werden, die
gefährliche Arbeitsstoffe, verdichtete, verflüssigte oder unter
Druck gelöste Gase oder nicht atembare Gase enthalten, … Die im
ersten Satz genannten Räume müssen so angelegt sein, dass eine
gefährliche Ansammlung von Arbeitsstoffen nicht möglich ist.
Insbesondere wenn Gase und Dämpfe schwerer als Luft sind, ist dies
durch eine ausreichende natürliche oder mechanische Lüftung
unmittelbar ins Freie sicherzustellen und Vorsorge zu treffen, dass
sich solche Gase und Dämpfe in tiefer gelegenen Räumen in nicht
gefährlicher Menge ansammeln können.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40 Arbeitsstoffe – Gefährliche Arbeitsstoffe</w:t>
      </w:r>
    </w:p>
    <w:p>
      <w:pPr>
        <w:widowControl w:val="on"/>
        <w:pBdr/>
        <w:spacing w:before="140" w:after="240" w:line="288" w:lineRule="auto"/>
        <w:ind w:left="0" w:right="0"/>
        <w:jc w:val="left"/>
      </w:pPr>
      <w:r>
        <w:rPr>
          <w:rFonts w:ascii="Arial" w:hAnsi="Arial" w:eastAsia="Arial" w:cs="Arial"/>
          <w:i/>
          <w:iCs/>
          <w:color w:val="000000"/>
          <w:sz w:val="20"/>
          <w:szCs w:val="20"/>
        </w:rPr>
        <w:t xml:space="preserve">§ 40 (1) Gefährliche Arbeitsstoffe sind
explosionsgefährliche, brandgefährliche und gesundheitsgefährdende
Arbeitsstoffe sowie biologische Arbeitsstoffe, … Soweit im
Folgenden Gefahrenklassen oder -kategorien genannt sind, sind diese
im Sinne der Kriterien nach Anhang I Teil 2 und 3 der Verordnung
(EG) 1272/2008 (CLP-Verordnung) zu verstehen, auch wenn der
Arbeitsstoff nicht aufgrund dieser Verordnung eingestuft
ist.</w:t>
      </w:r>
    </w:p>
    <w:p>
      <w:pPr>
        <w:widowControl w:val="on"/>
        <w:pBdr/>
        <w:spacing w:before="140" w:after="240" w:line="288" w:lineRule="auto"/>
        <w:ind w:left="0" w:right="0"/>
        <w:jc w:val="left"/>
      </w:pPr>
      <w:r>
        <w:rPr>
          <w:rFonts w:ascii="Arial" w:hAnsi="Arial" w:eastAsia="Arial" w:cs="Arial"/>
          <w:i/>
          <w:iCs/>
          <w:color w:val="000000"/>
          <w:sz w:val="20"/>
          <w:szCs w:val="20"/>
        </w:rPr>
        <w:t xml:space="preserve">(4) Gesundheitsgefährdende Arbeitsstoffe sind Arbeitsstoffe,
die einer der folgenden Gefahrenklassen zugeordnet werden
können:</w:t>
      </w:r>
    </w:p>
    <w:p>
      <w:pPr>
        <w:widowControl w:val="on"/>
        <w:pBdr/>
        <w:spacing w:before="140" w:after="240" w:line="288" w:lineRule="auto"/>
        <w:ind w:left="0" w:right="0"/>
        <w:jc w:val="left"/>
      </w:pPr>
      <w:r>
        <w:rPr>
          <w:rFonts w:ascii="Arial" w:hAnsi="Arial" w:eastAsia="Arial" w:cs="Arial"/>
          <w:i/>
          <w:iCs/>
          <w:color w:val="000000"/>
          <w:sz w:val="20"/>
          <w:szCs w:val="20"/>
        </w:rPr>
        <w:t xml:space="preserve">1. Akute Toxizität (Gefahrenklasse 3.1),</w:t>
      </w:r>
    </w:p>
    <w:p>
      <w:pPr>
        <w:widowControl w:val="on"/>
        <w:pBdr/>
        <w:spacing w:before="140" w:after="240" w:line="288" w:lineRule="auto"/>
        <w:ind w:left="0" w:right="0"/>
        <w:jc w:val="left"/>
      </w:pPr>
      <w:r>
        <w:rPr>
          <w:rFonts w:ascii="Arial" w:hAnsi="Arial" w:eastAsia="Arial" w:cs="Arial"/>
          <w:i/>
          <w:iCs/>
          <w:color w:val="000000"/>
          <w:sz w:val="20"/>
          <w:szCs w:val="20"/>
        </w:rPr>
        <w:t xml:space="preserve">2. Ätz-/Reizwirkung auf die Haut (Gefahrenklasse
3.2),</w:t>
      </w:r>
    </w:p>
    <w:p>
      <w:pPr>
        <w:widowControl w:val="on"/>
        <w:pBdr/>
        <w:spacing w:before="140" w:after="240" w:line="288" w:lineRule="auto"/>
        <w:ind w:left="0" w:right="0"/>
        <w:jc w:val="left"/>
      </w:pPr>
      <w:r>
        <w:rPr>
          <w:rFonts w:ascii="Arial" w:hAnsi="Arial" w:eastAsia="Arial" w:cs="Arial"/>
          <w:i/>
          <w:iCs/>
          <w:color w:val="000000"/>
          <w:sz w:val="20"/>
          <w:szCs w:val="20"/>
        </w:rPr>
        <w:t xml:space="preserve">3. Schwere Augenschädigung/Augenreizung (Gefahrenklasse
3.3),</w:t>
      </w:r>
    </w:p>
    <w:p>
      <w:pPr>
        <w:widowControl w:val="on"/>
        <w:pBdr/>
        <w:spacing w:before="140" w:after="240" w:line="288" w:lineRule="auto"/>
        <w:ind w:left="0" w:right="0"/>
        <w:jc w:val="left"/>
      </w:pPr>
      <w:r>
        <w:rPr>
          <w:rFonts w:ascii="Arial" w:hAnsi="Arial" w:eastAsia="Arial" w:cs="Arial"/>
          <w:i/>
          <w:iCs/>
          <w:color w:val="000000"/>
          <w:sz w:val="20"/>
          <w:szCs w:val="20"/>
        </w:rPr>
        <w:t xml:space="preserve">4. Sensibilisierung der Atemwege oder der Haut
(Gefahrenklasse 3.4),</w:t>
      </w:r>
    </w:p>
    <w:p>
      <w:pPr>
        <w:widowControl w:val="on"/>
        <w:pBdr/>
        <w:spacing w:before="140" w:after="240" w:line="288" w:lineRule="auto"/>
        <w:ind w:left="0" w:right="0"/>
        <w:jc w:val="left"/>
      </w:pPr>
      <w:r>
        <w:rPr>
          <w:rFonts w:ascii="Arial" w:hAnsi="Arial" w:eastAsia="Arial" w:cs="Arial"/>
          <w:i/>
          <w:iCs/>
          <w:color w:val="000000"/>
          <w:sz w:val="20"/>
          <w:szCs w:val="20"/>
        </w:rPr>
        <w:t xml:space="preserve">5. Keimzellmutagenität (Gefahrenklasse 3.5),</w:t>
      </w:r>
    </w:p>
    <w:p>
      <w:pPr>
        <w:widowControl w:val="on"/>
        <w:pBdr/>
        <w:spacing w:before="140" w:after="240" w:line="288" w:lineRule="auto"/>
        <w:ind w:left="0" w:right="0"/>
        <w:jc w:val="left"/>
      </w:pPr>
      <w:r>
        <w:rPr>
          <w:rFonts w:ascii="Arial" w:hAnsi="Arial" w:eastAsia="Arial" w:cs="Arial"/>
          <w:i/>
          <w:iCs/>
          <w:color w:val="000000"/>
          <w:sz w:val="20"/>
          <w:szCs w:val="20"/>
        </w:rPr>
        <w:t xml:space="preserve">6. Karzinogenität (Gefahrenklasse 3.6),</w:t>
      </w:r>
    </w:p>
    <w:p>
      <w:pPr>
        <w:widowControl w:val="on"/>
        <w:pBdr/>
        <w:spacing w:before="140" w:after="240" w:line="288" w:lineRule="auto"/>
        <w:ind w:left="0" w:right="0"/>
        <w:jc w:val="left"/>
      </w:pPr>
      <w:r>
        <w:rPr>
          <w:rFonts w:ascii="Arial" w:hAnsi="Arial" w:eastAsia="Arial" w:cs="Arial"/>
          <w:i/>
          <w:iCs/>
          <w:color w:val="000000"/>
          <w:sz w:val="20"/>
          <w:szCs w:val="20"/>
        </w:rPr>
        <w:t xml:space="preserve">7. Reproduktionstoxizität (Gefahrenklasse 3.7),</w:t>
      </w:r>
    </w:p>
    <w:p>
      <w:pPr>
        <w:widowControl w:val="on"/>
        <w:pBdr/>
        <w:spacing w:before="140" w:after="240" w:line="288" w:lineRule="auto"/>
        <w:ind w:left="0" w:right="0"/>
        <w:jc w:val="left"/>
      </w:pPr>
      <w:r>
        <w:rPr>
          <w:rFonts w:ascii="Arial" w:hAnsi="Arial" w:eastAsia="Arial" w:cs="Arial"/>
          <w:i/>
          <w:iCs/>
          <w:color w:val="000000"/>
          <w:sz w:val="20"/>
          <w:szCs w:val="20"/>
        </w:rPr>
        <w:t xml:space="preserve">8. Spezifische Zielorgan-Toxizität, einmalige Exposition
(Gefahrenklasse 3.8),</w:t>
      </w:r>
    </w:p>
    <w:p>
      <w:pPr>
        <w:widowControl w:val="on"/>
        <w:pBdr/>
        <w:spacing w:before="140" w:after="240" w:line="288" w:lineRule="auto"/>
        <w:ind w:left="0" w:right="0"/>
        <w:jc w:val="left"/>
      </w:pPr>
      <w:r>
        <w:rPr>
          <w:rFonts w:ascii="Arial" w:hAnsi="Arial" w:eastAsia="Arial" w:cs="Arial"/>
          <w:i/>
          <w:iCs/>
          <w:color w:val="000000"/>
          <w:sz w:val="20"/>
          <w:szCs w:val="20"/>
        </w:rPr>
        <w:t xml:space="preserve">9. Spezifische Zielorgan-Toxizität, wiederholte Exposition
(Gefahrenklasse 3.9),</w:t>
      </w:r>
    </w:p>
    <w:p>
      <w:pPr>
        <w:widowControl w:val="on"/>
        <w:pBdr/>
        <w:spacing w:before="140" w:after="240" w:line="288" w:lineRule="auto"/>
        <w:ind w:left="0" w:right="0"/>
        <w:jc w:val="left"/>
      </w:pPr>
      <w:r>
        <w:rPr>
          <w:rFonts w:ascii="Arial" w:hAnsi="Arial" w:eastAsia="Arial" w:cs="Arial"/>
          <w:i/>
          <w:iCs/>
          <w:color w:val="000000"/>
          <w:sz w:val="20"/>
          <w:szCs w:val="20"/>
        </w:rPr>
        <w:t xml:space="preserve">10. Aspirationsgefahr (Gefahrenklasse 3.10).</w:t>
      </w:r>
    </w:p>
    <w:p>
      <w:pPr>
        <w:widowControl w:val="on"/>
        <w:pBdr/>
        <w:spacing w:before="140" w:after="240" w:line="288" w:lineRule="auto"/>
        <w:ind w:left="0" w:right="0"/>
        <w:jc w:val="left"/>
      </w:pPr>
      <w:r>
        <w:rPr>
          <w:rFonts w:ascii="Arial" w:hAnsi="Arial" w:eastAsia="Arial" w:cs="Arial"/>
          <w:i/>
          <w:iCs/>
          <w:color w:val="000000"/>
          <w:sz w:val="20"/>
          <w:szCs w:val="20"/>
        </w:rPr>
        <w:t xml:space="preserve">(4a) Gesundheitsgefährdende Arbeitsstoffe sind weiters
Arbeitsstoffe, die sehr giftige, giftige, gesundheitsschädliche
(mindergiftige), ätzende, reizende, krebserzeugende,
erbgutverändernde, fortpflanzungsgefährdende oder sensibilisierende
Eigenschaften im Sinne des § 3 des Chemikaliengesetzes 1996,
BGBl I 53/1997 in der Fassung BGBl I 14/2015, aufweisen
(Anm: mit der ChemG-Novelle BGBl I 44/2018 wurde der § 3
des Gesetzes mit Wirkung vom 13.07.1988 aufgehoben).</w:t>
      </w:r>
    </w:p>
    <w:p>
      <w:pPr>
        <w:widowControl w:val="on"/>
        <w:pBdr/>
        <w:spacing w:before="140" w:after="240" w:line="288" w:lineRule="auto"/>
        <w:ind w:left="0" w:right="0"/>
        <w:jc w:val="left"/>
      </w:pPr>
      <w:r>
        <w:rPr>
          <w:rFonts w:ascii="Arial" w:hAnsi="Arial" w:eastAsia="Arial" w:cs="Arial"/>
          <w:i/>
          <w:iCs/>
          <w:color w:val="000000"/>
          <w:sz w:val="20"/>
          <w:szCs w:val="20"/>
        </w:rPr>
        <w:t xml:space="preserve">(4b) Gesundheitsgefährdende Arbeitsstoffe sind weiters
Arbeitsstoffe, die eine der folgenden Eigenschaften
aufweisen: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„fibrogen“, wenn sie als Schwebstoffe durch Einatmen mit
Bindegewebsbildung einhergehende Erkrankungen der Lunge verursachen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„radioaktiv“, wenn sie zufolge spontaner Kernprozesse
ionisierende Strahlen aussenden;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„biologisch inert“, wenn sie als Stäube weder giftig noch
fibrogen wirken und keine spezifischen Krankheitserscheinungen
hervorrufen, jedoch eine Beeinträchtigung von Funktionen der
Atmungsorgane verursachen können.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(8) Bestimmungen über gefährliche Arbeitsstoffe in
Verordnungen zu diesem Bundesgesetz oder in Rechtsvorschriften, die
nach dem 9. Abschnitt dieses Bundesgesetzes weitergelten, gelten
mit folgenden Maßgaben: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giftigen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akute Toxizität (Gefahrenklasse 3.1) Kategorie 1 bis
3,</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bei einmaliger oder
wiederholter Exposition (Gefahrenklasse 3.8 oder 3.9) jeweils
Kategorie 1,</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Aspirationsgefahr (Gefahrenklasse 3.10);</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gesundheitsschädlichen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akute Toxizität (Gefahrenklasse 3.1) Kategorie 4,</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einmalige Exposition
(Gefahrenklasse 3.8) Kategorien 2 und 3,</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wiederholte Exposition
(Gefahrenklasse 3.9) Kategorie 2;</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ätzenden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Ätz-/Reizwirkung auf die Haut (Gefahrenklasse 3.2)
Kategorien 1A, 1B und 1C,</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schwere Augenschädigung/Augenreizung (Gefahrenklasse 3.3)
Kategorie 1;</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reizenden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Ätz-/Reizwirkung auf die Haut (Gefahrenklasse 3.2) Kategorie
2,</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schwere Augenschädigung/Augenreizung (Gefahrenklasse 3.3)
Kategorie 2,</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bei einmaliger Exposition
(Gefahrenklasse 3.8) Kategorie 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sensibilisierenden
Eigenschaften gelten auch für Arbeitsstoffe, die der Gefahrenklasse
3.4 (Sensibilisierung der Atemwege oder der Haut)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erbgutverändernden
Eigenschaften gelten auch für Arbeitsstoffe, die der Gefahrenklasse
3.5 (Keimzellmutagenität)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krebserzeugenden
Eigenschaften gelten auch für Arbeitsstoffe, die der Gefahrenklasse
3.6 (Karzinogenität)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fortpflanzungsgefährdenden Eigenschaften gelten auch für
Arbeitsstoffe, die der Gefahrenklasse 3.7 (Reproduktionstoxizität)
zugeordnet werden können.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10 Krebserzeugende und fortpflanzungsgefährdende
(reproduktionstoxische) Arbeitsstoffe – Einstufung und Unterteilung
von krebserzeugenden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10 (1) Als krebserzeugend im Sinne des 4. Abschnittes
des ASchG (Anm: „Arbeitsstoffe“) gelten jedenfalls Arbeitsstoffe,
die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Anhang III (Liste krebserzeugender Arbeitsstoffe) oder
Anhang V (Liste von Hölzern, deren Stäube als eindeutig
krebserzeugend gelten) genannt sind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nach den Bestimmungen des Chemikaliengesetzes 1996 oder des
Pflanzenschutzmittelgesetzes 2011 als krebserzeugend einzustufen
oder zu kennzeichnen sind oder die in Anhang I der Verordnung (EG)
1272/2008 über die Einstufung, Kennzeichnung und Verpackung von
Stoffen und Gemischen, ABl L 353 S 1, in der jeweils
geltenden Fassung, genannten Kriterien für die Einstufung als
karzinogener Stoff der Kategorie 1A oder 1B erfüllen.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Krebserzeugende Arbeitsstoffe werden unterteilt
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eindeutig krebserzeugende Arbeitsstoffe, das sind
Arbeitsstoffe, die beim Menschen erfahrungsgemäß bösartige
Geschwülste zu verursachen vermögen oder sich im Tierversuch als
krebserzeugend erwiesen haben,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Arbeitsstoffe mit begründetem Verdacht auf krebserzeugendes
Potenzial.</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10a Krebserzeugende und fortpflanzungsgefährdende
(reproduktionstoxische) Arbeitsstoffe – Einstufung und Unterteilung
von fortpflanzungsgefährdenden (reproduktionstoxischen)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10a (1) Als fortpflanzungsgefährdende
(reproduktionstoxische) Arbeitsstoffe im Sinne des 4. Abschnittes
des ASchG (Anm: „Arbeitsstoffe“) gelten jedenfalls Arbeitsstoffe,
die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Anhang VI (fortpflanzungsgefährdende
(reproduktionstoxische) Arbeitsstoffe) genannt sind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nach den Bestimmungen des Chemikaliengesetzes 1996 oder des
Pflanzenschutzmittelgesetzes 2011 als fortpflanzungsgefährdende
Stoffe einzustufen und zu kennzeichnen sind oder die in Anhang I
der Verordnung (EG) 1272/2008 über die Einstufung, Kennzeichnung
und Verpackung von Stoffen und Gemischen, ABl L 353 S 1,
in der jeweils geltenden Fassung, genannten Kriterien für die
Einstufung als reproduktionstoxischer Stoff der Kategorie 1A oder
1B erfüllen.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Fortpflanzungsgefährdende Stoffe werden unterteilt
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die Fruchtbarkeit beeinträchtigen,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vermutlich die Fruchtbarkeit beeinträchtigen,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das Kind im Mutterleib schädigen,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vermutlich das Kind im Mutterleib schädigen,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Säuglinge über die Muttermilch schädigen.</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w:t>
      </w:r>
    </w:p>
    <w:p>
      <w:pPr>
        <w:widowControl w:val="on"/>
        <w:pBdr/>
        <w:spacing w:before="140" w:after="240" w:line="288" w:lineRule="auto"/>
        <w:ind w:left="0" w:right="0"/>
        <w:jc w:val="left"/>
      </w:pPr>
      <w:r>
        <w:rPr>
          <w:rFonts w:ascii="Arial" w:hAnsi="Arial" w:eastAsia="Arial" w:cs="Arial"/>
          <w:color w:val="000000"/>
          <w:sz w:val="20"/>
          <w:szCs w:val="20"/>
        </w:rPr>
        <w:t xml:space="preserve">Die Prüfverpflichtungen des 5. Abschnitts der GKV betreffen
Absaug- und mechanische Lüftungsanlagen für Arbeitsstoffe, die der
Gruppe der gesundheitsgefährdenden Stoffe und Gemische zuzuordnen
sind. Dementsprechend sind die technischen Anforderungen an
Absaugeinrichtungen oder Lüftungsanlagen zur Abführung der mit
derart eingestuften Arbeitsstoffen belasteten Luft sowie die
Prüfpflichten zur Sicherstellung des ordnungsgemäßen Zustandes der
Absaugung bzw mechanischen Lüftung in § 32 Abss 1, 2 u 3 GKV
festgelegt.</w:t>
      </w:r>
    </w:p>
    <w:p>
      <w:pPr>
        <w:widowControl w:val="on"/>
        <w:pBdr/>
        <w:spacing w:before="140" w:after="240" w:line="288" w:lineRule="auto"/>
        <w:ind w:left="0" w:right="0"/>
        <w:jc w:val="left"/>
      </w:pPr>
      <w:r>
        <w:rPr>
          <w:rFonts w:ascii="Arial" w:hAnsi="Arial" w:eastAsia="Arial" w:cs="Arial"/>
          <w:color w:val="000000"/>
          <w:sz w:val="20"/>
          <w:szCs w:val="20"/>
        </w:rPr>
        <w:t xml:space="preserve">Absaug- bzw Lüftungsanlagen dürfen gem § 32 Abs 1 GKV
erstmalig nur in Betrieb genommen werden, wenn ihre Wirksamkeit
durch repräsentative Messung der Absaugleistung nachgewiesen wurde.
Dies ist gem Abs 2 dieser Bestimmung in der Folge
wiederkehrend durch Feststellung ihres ordnungsgemäßen Zustandes zu
überprüfen. Im Falle von Änderungen, Erweiterungen oder
Umgestaltungen, die sich auf die Absaugleistung auswirken können,
ist gem Abs 3 dieser Bestimmung eine ergänzende Prüfung
vorzunehmen.</w:t>
      </w:r>
    </w:p>
    <w:p>
      <w:pPr>
        <w:widowControl w:val="on"/>
        <w:pBdr/>
        <w:spacing w:before="140" w:after="240" w:line="288" w:lineRule="auto"/>
        <w:ind w:left="0" w:right="0"/>
        <w:jc w:val="left"/>
      </w:pPr>
      <w:r>
        <w:rPr>
          <w:rFonts w:ascii="Arial" w:hAnsi="Arial" w:eastAsia="Arial" w:cs="Arial"/>
          <w:color w:val="000000"/>
          <w:sz w:val="20"/>
          <w:szCs w:val="20"/>
        </w:rPr>
        <w:t xml:space="preserve">Von den Prüfbestimmungen ausgenommen sind gem § 32
Abs 6 GKV Industriestaubsauger, die nur zur Abreinigung
verwendet werden.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GKV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(1) Absaug- oder mechanische Lüftungsanlagen zur
Abführung von gesundheitsgefährdenden Arbeitsstoffen dürfen nur
dann in Betrieb genommen werden, wenn vor ihrer erstmaligen
Inbetriebnahme ihre Wirksamkeit bezogen auf die zu erwartende
Exposition am Arbeitsplatz durch eine repräsentative Messung der
Absaug- bzw Lüftungsleistung nachgewiesen wurde.</w:t>
      </w:r>
    </w:p>
    <w:p>
      <w:pPr>
        <w:widowControl w:val="on"/>
        <w:pBdr/>
        <w:spacing w:before="140" w:after="240" w:line="288" w:lineRule="auto"/>
        <w:ind w:left="0" w:right="0"/>
        <w:jc w:val="left"/>
      </w:pPr>
      <w:r>
        <w:rPr>
          <w:rFonts w:ascii="Arial" w:hAnsi="Arial" w:eastAsia="Arial" w:cs="Arial"/>
          <w:i/>
          <w:iCs/>
          <w:color w:val="000000"/>
          <w:sz w:val="20"/>
          <w:szCs w:val="20"/>
        </w:rPr>
        <w:t xml:space="preserve">(2) Absaug- oder mechanische Lüftungsanlagen oder
Absauggeräte zur Abführung von gesundheitsgefährdenden
Arbeitsstoffen sind … auf ihren ordnungsgemäßen Zustand zu
überprüfen.</w:t>
      </w:r>
    </w:p>
    <w:p>
      <w:pPr>
        <w:widowControl w:val="on"/>
        <w:pBdr/>
        <w:spacing w:before="140" w:after="240" w:line="288" w:lineRule="auto"/>
        <w:ind w:left="0" w:right="0"/>
        <w:jc w:val="left"/>
      </w:pPr>
      <w:r>
        <w:rPr>
          <w:rFonts w:ascii="Arial" w:hAnsi="Arial" w:eastAsia="Arial" w:cs="Arial"/>
          <w:i/>
          <w:iCs/>
          <w:color w:val="000000"/>
          <w:sz w:val="20"/>
          <w:szCs w:val="20"/>
        </w:rPr>
        <w:t xml:space="preserve">(3) Werden an Anlagen gemäß Abs 1 Änderungen,
Erweiterungen oder Umgestaltungen vorgenommen, die sich auf die
Absaug- oder Lüftungsleistung auswirken, ist die Prüfung zu
ergänzen.</w:t>
      </w:r>
    </w:p>
    <w:p>
      <w:pPr>
        <w:widowControl w:val="on"/>
        <w:pBdr/>
        <w:spacing w:before="140" w:after="240" w:line="288" w:lineRule="auto"/>
        <w:ind w:left="0" w:right="0"/>
        <w:jc w:val="left"/>
      </w:pPr>
      <w:r>
        <w:rPr>
          <w:rFonts w:ascii="Arial" w:hAnsi="Arial" w:eastAsia="Arial" w:cs="Arial"/>
          <w:i/>
          <w:iCs/>
          <w:color w:val="000000"/>
          <w:sz w:val="20"/>
          <w:szCs w:val="20"/>
        </w:rPr>
        <w:t xml:space="preserve">(6) Abs 1 bis Abs 5 gilt nicht für
Industriestaubsauger, die nur für die Abreinigung verwendet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Prüffristen</w:t>
      </w:r>
    </w:p>
    <w:p>
      <w:pPr>
        <w:widowControl w:val="on"/>
        <w:pBdr/>
        <w:spacing w:before="140" w:after="240" w:line="288" w:lineRule="auto"/>
        <w:ind w:left="0" w:right="0"/>
        <w:jc w:val="left"/>
      </w:pPr>
      <w:r>
        <w:rPr>
          <w:rFonts w:ascii="Arial" w:hAnsi="Arial" w:eastAsia="Arial" w:cs="Arial"/>
          <w:color w:val="000000"/>
          <w:sz w:val="20"/>
          <w:szCs w:val="20"/>
        </w:rPr>
        <w:t xml:space="preserve">Absaug- oder mechanische Lüftungsanlagen oder Absauggeräte zur
Abführung von gesundheitsgefährdenden Arbeitsstoffen sind gem
§ 32 Abs 2 GKV zumindest einmal im Kalenderjahr
wiederkehrenden Überprüfungen auf ihren ordnungsgemäßen Zustand zu
unterziehen, wobei der Abstand zwischen derartigen Prüfungen
höchstens 15 Monate betragen darf.</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(2) Absaug- oder mechanische Lüftungsanlagen oder
Absauggeräte … sind mindestens einmal im Kalenderjahr, jedoch
längstens im Abstand von 15 Monaten, auf ihren ordnungsgemäßen
Zustand zu überprüfen.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nach § 32 Abs 1 GKV
erforderliche Prüfung vor der erstmaligen Inbetriebnahme, die nach
Abs 2 vorzunehmenden wiederkehrenden Prüfungen und die gem
Abs 3 dieser Bestimmung vorgeschriebenen Prüfungen nach
Änderungen, Erweiterungen oder Umgestaltungen durchführen darf, ist
in § 32 Abs 5 GKV mit „geeignete, fachkundige und
berechtigte Personen“ bezeichnet. Als solche gelten nach dieser
Bestimmung befugte Gewerbetreibende, akkreditierte Prüf- und
Überwachungsstellen, Ziviltechniker/innen, Technische Büros –
Ingenieurbüros, aber auch qualifizierte Betriebsangehörige. Die
Prüfungen sind nach den Regeln der Technik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(5) Die Prüfungen müssen von geeigneten,
fachkundigen und hiezu berechtigten Personen (zB befugte
Gewerbetreibende, akkreditierte Prüf- und Überwachungsstellen,
Ziviltechniker/innen, Technische Büros – Ingenieurbüros,
qualifizierte Betriebsangehörige) nach den Regeln der Technik
durchgeführt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Für sämtliche durchgeführten Messungen und Prüfungen besteht gem
§ 31 Abs 3 sowie § 32 Abs 4 GKV die
Verpflichtung, Aufzeichnungen zu führen, aus denen die
Repräsentativität sowie der Umfang und das Ergebnis der Messungen
bzw Prüfungen eindeutig und nachvollziehbar hervorzugehen hat.</w:t>
      </w:r>
    </w:p>
    <w:p>
      <w:pPr>
        <w:widowControl w:val="on"/>
        <w:pBdr/>
        <w:spacing w:before="140" w:after="240" w:line="288" w:lineRule="auto"/>
        <w:ind w:left="0" w:right="0"/>
        <w:jc w:val="left"/>
      </w:pPr>
      <w:r>
        <w:rPr>
          <w:rFonts w:ascii="Arial" w:hAnsi="Arial" w:eastAsia="Arial" w:cs="Arial"/>
          <w:color w:val="000000"/>
          <w:sz w:val="20"/>
          <w:szCs w:val="20"/>
        </w:rPr>
        <w:t xml:space="preserve">Die GKV enthält keine Bestimmungen darüber, über welchen
Zeitraum und wo die Aufzeichnungen aufzubewahren sind. In Anlehnung
an die Vorschriften der Arbeitsmittelverordnung (AM-VO) empfiehlt
es sich, die Prüfbefunde und Messergebnisse bis zum Ausscheiden der
Absaugeinrichtung oder Lüftungsanlage aufzubewahren (§ 11
Abs 3 AM-VO). Prüfbefunde der letzten wiederkehrenden Prüfung
sollten jedenfalls am Einsatzort verfügbar sein, um sie
Behördenorganen jederzeit vorweisen zu können. Der Verweis auf
§ 5 des ArbeitnehmerInnenschutzgesetzes (ASchG) in den
Bestimmungen des § 31 Abs 3 und § 32 Abs 4 GKV
bezieht sich auf die Verpflichtung, die Prüf- und Messergebnisse
den (arbeitsplatzbezogen) zu erstellenden Sicherheits- und
Gesundheitsschutzdokumenten zugrunde zu legen.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GKV, des ASchG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31 Messungen – Gemeinsame 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31 (3) Messungen und Bewertungen sind so zu
dokumentieren (§ 5 ASchG), dass Repräsentativität, Umfang und
Ergebnisse der Messungen und Bewertungen eindeutig und
nachvollziehbar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(4) Prüfungen sind so zu dokumentieren (§ 5
ASchG), dass Umfang und Ergebnisse der Prüfungen eindeutig und
nachvollziehbar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5 Sicherheits- und Gesundheitsschutzdokumente</w:t>
      </w:r>
    </w:p>
    <w:p>
      <w:pPr>
        <w:widowControl w:val="on"/>
        <w:pBdr/>
        <w:spacing w:before="140" w:after="240" w:line="288" w:lineRule="auto"/>
        <w:ind w:left="0" w:right="0"/>
        <w:jc w:val="left"/>
      </w:pPr>
      <w:r>
        <w:rPr>
          <w:rFonts w:ascii="Arial" w:hAnsi="Arial" w:eastAsia="Arial" w:cs="Arial"/>
          <w:i/>
          <w:iCs/>
          <w:color w:val="000000"/>
          <w:sz w:val="20"/>
          <w:szCs w:val="20"/>
        </w:rPr>
        <w:t xml:space="preserve">§ 5 Arbeitgeber sind verpflichtet, in einer der Anzahl
der Beschäftigten und den Gefahren entsprechenden Weise die
Ergebnisse der Ermittlung und Beurteilung der Gefahren sowie die
durchzuführenden Maßnahmen zur Gefahrenverhütung schriftlich
festzuhalten (Sicherheits- und Gesundheitsschutzdokumente). Soweit
dies aus Gründen der Gefahrenverhütung erforderlich ist, ist diese
Dokumentation arbeitsplatzbezogen vorzunehmen.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Am Einsatzort
des Arbeitsmittels müssen Prüfbefunde oder Kopien über die letzte
Abnahmeprüfung, über die wiederkehrenden Prüfungen und über die
Prüfungen nach Aufstellung vorhanden sein.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Wartung, Instandhaltung</w:t>
      </w:r>
    </w:p>
    <w:p>
      <w:pPr>
        <w:widowControl w:val="on"/>
        <w:pBdr/>
        <w:spacing w:before="140" w:after="240" w:line="288" w:lineRule="auto"/>
        <w:ind w:left="0" w:right="0"/>
        <w:jc w:val="left"/>
      </w:pPr>
      <w:r>
        <w:rPr>
          <w:rFonts w:ascii="Arial" w:hAnsi="Arial" w:eastAsia="Arial" w:cs="Arial"/>
          <w:color w:val="000000"/>
          <w:sz w:val="20"/>
          <w:szCs w:val="20"/>
        </w:rPr>
        <w:t xml:space="preserve">Die GKV legt für Betriebseinrichtungen in Arbeitsstätten keine
verpflichtende Wartung und Instandhaltung fest. Im Sinne der
allgemeinen Verpflichtung des § 38 Abs 1 und § 17
Abs 1 ASchG Arbeitsmittel derart nach den Angaben des
Herstellers oder Inverkehrbringers zu warten und instand zu halten,
dass sie den Rechtsvorschriften entsprechen, ist zu empfehlen,
Wartungen und Instandhaltungen der Absaugeinrichtung in
regelmäßigen Abständen vorzunehmen und auch hierüber
Aufzeichnungen, zB in Form eines Wartungsbuches, zu führen.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des ASchG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38 Wartung von Arbeitsmitteln</w:t>
      </w:r>
    </w:p>
    <w:p>
      <w:pPr>
        <w:widowControl w:val="on"/>
        <w:pBdr/>
        <w:spacing w:before="140" w:after="240" w:line="288" w:lineRule="auto"/>
        <w:ind w:left="0" w:right="0"/>
        <w:jc w:val="left"/>
      </w:pPr>
      <w:r>
        <w:rPr>
          <w:rFonts w:ascii="Arial" w:hAnsi="Arial" w:eastAsia="Arial" w:cs="Arial"/>
          <w:i/>
          <w:iCs/>
          <w:color w:val="000000"/>
          <w:sz w:val="20"/>
          <w:szCs w:val="20"/>
        </w:rPr>
        <w:t xml:space="preserve">§ 38 (1) Arbeitgeber haben dafür zu sorgen, daß
Arbeitsmittel während der gesamten Dauer der Benutzung durch
entsprechende Wartung in einem Zustand gehalten werden, der den für
sie geltenden Rechtsvorschriften entspricht. Bei der Wartung sind
die Anleitungen der Hersteller oder Inverkehrbringer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17 Instandhaltung, Reinigung,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 17 (1) Arbeitgeber haben dafür zu sorgen, daß …, die
elektrischen Anlagen, Arbeitsmittel … ordnungsgemäß instand
gehalten und gereinigt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Übergangsbestimmungen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 Übergangsbestimmungen des § 34 Abs 1 GKV legen
fest, dass die in bestehenden Bescheiden für die Genehmigung und
den Betrieb von Absauganlagen enthaltenen Auflagen betreffend
Messungen unberührt bleiben.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33 Übergangsbestimmungen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33 (1) Bescheidmäßige Vorschreibungen über Messungen
bleiben unberührt</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r>
        <w:pict>
          <v:rect id="_x0000_i1026" style="width:0;height:1.5pt" o:hralign="center" o:hrstd="t" o:hr="t" o:hrnoshade="t" fillcolor="#a0a0a0" stroked="f"/>
        </w:pic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die erforderlichen Messungen der Arbeitsplatzkonzentration
von Gasen, Dämpfen oder Schwebstaub bei nicht auszuschließender
Überschreitung von Grenzwerten (MAK- bzw TRK-Werten) s Prüfblatt
„Arbeitsplätze – Überwachung gefährlicher Arbeitsstoffe“.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4877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69364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47362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58292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67004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99735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441231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53928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51201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94348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143882">
    <w:multiLevelType w:val="hybridMultilevel"/>
    <w:lvl w:ilvl="0" w:tplc="28534246">
      <w:start w:val="1"/>
      <w:numFmt w:val="decimal"/>
      <w:lvlText w:val="%1."/>
      <w:lvlJc w:val="left"/>
      <w:pPr>
        <w:ind w:left="720" w:hanging="360"/>
      </w:pPr>
    </w:lvl>
    <w:lvl w:ilvl="1" w:tplc="28534246" w:tentative="1">
      <w:start w:val="1"/>
      <w:numFmt w:val="lowerLetter"/>
      <w:lvlText w:val="%2."/>
      <w:lvlJc w:val="left"/>
      <w:pPr>
        <w:ind w:left="1440" w:hanging="360"/>
      </w:pPr>
    </w:lvl>
    <w:lvl w:ilvl="2" w:tplc="28534246" w:tentative="1">
      <w:start w:val="1"/>
      <w:numFmt w:val="lowerRoman"/>
      <w:lvlText w:val="%3."/>
      <w:lvlJc w:val="right"/>
      <w:pPr>
        <w:ind w:left="2160" w:hanging="180"/>
      </w:pPr>
    </w:lvl>
    <w:lvl w:ilvl="3" w:tplc="28534246" w:tentative="1">
      <w:start w:val="1"/>
      <w:numFmt w:val="decimal"/>
      <w:lvlText w:val="%4."/>
      <w:lvlJc w:val="left"/>
      <w:pPr>
        <w:ind w:left="2880" w:hanging="360"/>
      </w:pPr>
    </w:lvl>
    <w:lvl w:ilvl="4" w:tplc="28534246" w:tentative="1">
      <w:start w:val="1"/>
      <w:numFmt w:val="lowerLetter"/>
      <w:lvlText w:val="%5."/>
      <w:lvlJc w:val="left"/>
      <w:pPr>
        <w:ind w:left="3600" w:hanging="360"/>
      </w:pPr>
    </w:lvl>
    <w:lvl w:ilvl="5" w:tplc="28534246" w:tentative="1">
      <w:start w:val="1"/>
      <w:numFmt w:val="lowerRoman"/>
      <w:lvlText w:val="%6."/>
      <w:lvlJc w:val="right"/>
      <w:pPr>
        <w:ind w:left="4320" w:hanging="180"/>
      </w:pPr>
    </w:lvl>
    <w:lvl w:ilvl="6" w:tplc="28534246" w:tentative="1">
      <w:start w:val="1"/>
      <w:numFmt w:val="decimal"/>
      <w:lvlText w:val="%7."/>
      <w:lvlJc w:val="left"/>
      <w:pPr>
        <w:ind w:left="5040" w:hanging="360"/>
      </w:pPr>
    </w:lvl>
    <w:lvl w:ilvl="7" w:tplc="28534246" w:tentative="1">
      <w:start w:val="1"/>
      <w:numFmt w:val="lowerLetter"/>
      <w:lvlText w:val="%8."/>
      <w:lvlJc w:val="left"/>
      <w:pPr>
        <w:ind w:left="5760" w:hanging="360"/>
      </w:pPr>
    </w:lvl>
    <w:lvl w:ilvl="8" w:tplc="28534246" w:tentative="1">
      <w:start w:val="1"/>
      <w:numFmt w:val="lowerRoman"/>
      <w:lvlText w:val="%9."/>
      <w:lvlJc w:val="right"/>
      <w:pPr>
        <w:ind w:left="6480" w:hanging="180"/>
      </w:pPr>
    </w:lvl>
  </w:abstractNum>
  <w:abstractNum w:abstractNumId="37143881">
    <w:multiLevelType w:val="hybridMultilevel"/>
    <w:lvl w:ilvl="0" w:tplc="49439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43881">
    <w:abstractNumId w:val="37143881"/>
  </w:num>
  <w:num w:numId="37143882">
    <w:abstractNumId w:val="37143882"/>
  </w:num>
  <w:num w:numId="609434833">
    <w:abstractNumId w:val="609434833"/>
  </w:num>
  <w:num w:numId="745120110">
    <w:abstractNumId w:val="745120110"/>
  </w:num>
  <w:num w:numId="995392824">
    <w:abstractNumId w:val="995392824"/>
  </w:num>
  <w:num w:numId="384412316">
    <w:abstractNumId w:val="384412316"/>
  </w:num>
  <w:num w:numId="469973579">
    <w:abstractNumId w:val="469973579"/>
  </w:num>
  <w:num w:numId="916700474">
    <w:abstractNumId w:val="916700474"/>
  </w:num>
  <w:num w:numId="275829270">
    <w:abstractNumId w:val="275829270"/>
  </w:num>
  <w:num w:numId="144736267">
    <w:abstractNumId w:val="144736267"/>
  </w:num>
  <w:num w:numId="756936431">
    <w:abstractNumId w:val="756936431"/>
  </w:num>
  <w:num w:numId="951487711">
    <w:abstractNumId w:val="951487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3744235" Type="http://schemas.openxmlformats.org/officeDocument/2006/relationships/numbering" Target="numbering.xml"/><Relationship Id="rId7880320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