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130973" w:name="document"/>
    <w:bookmarkEnd w:id="9130973"/>
    <w:p/>
    <w:p>
      <w:pPr>
        <w:widowControl w:val="on"/>
        <w:pBdr/>
        <w:spacing w:before="0" w:after="280" w:line="240" w:lineRule="auto"/>
        <w:ind w:left="0" w:right="0"/>
        <w:jc w:val="left"/>
      </w:pPr>
      <w:r>
        <w:rPr>
          <w:rFonts w:ascii="Arial" w:hAnsi="Arial" w:eastAsia="Arial" w:cs="Arial"/>
          <w:color w:val="363A40"/>
          <w:sz w:val="24"/>
          <w:szCs w:val="24"/>
        </w:rPr>
        <w:t xml:space="preserve">Dokument-ID: 785054 | Gernot Wurm | Muster |
Prüfpflichten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Gerüste – Allgemeines</w:t>
      </w:r>
    </w:p>
    <w:p>
      <w:pPr>
        <w:widowControl w:val="on"/>
        <w:pBdr/>
        <w:spacing w:before="140" w:after="240" w:line="288" w:lineRule="auto"/>
        <w:ind w:left="0" w:right="0"/>
        <w:jc w:val="left"/>
      </w:pPr>
      <w:r>
        <w:rPr>
          <w:rFonts w:ascii="Arial" w:hAnsi="Arial" w:eastAsia="Arial" w:cs="Arial"/>
          <w:color w:val="000000"/>
          <w:sz w:val="20"/>
          <w:szCs w:val="20"/>
        </w:rPr>
        <w:t xml:space="preserve">Allgemeine Bestimmungen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000"/>
        <w:gridCol w:w="3000"/>
      </w:tblGrid>
      <w:tr>
        <w:trPr>
          <w:trHeight w:val="0" w:hRule="atLeast"/>
        </w:trPr>
        <w:tc>
          <w:tcPr>
            <w:tcW w:w="5000" w:type="pct"/>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Notwendige betriebliche
Prüfpflichten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Prüfung bei Aufstellung: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Prüfung der Gerüstbauteile auf
offensichtliche Mängel</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60 Abs 2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23161655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ZiviltechnikerInnen des hiefür in Betracht kommenden
Fachgebietes</w:t>
            </w:r>
          </w:p>
          <w:p>
            <w:pPr>
              <w:numPr>
                <w:ilvl w:val="0"/>
                <w:numId w:val="23161655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Organe des Technischen Überwachungsvereins</w:t>
            </w:r>
          </w:p>
          <w:p>
            <w:pPr>
              <w:numPr>
                <w:ilvl w:val="0"/>
                <w:numId w:val="23161655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Sonstige geeignete, fachkundige und hiezu berechtigte Personen
(auch Betriebsangehörige)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60 Abs 2 iVm § 151 Abs 1 und § 2
Abs 2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Prüfung nach Fertigstellung: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61 Abs 1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60166889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 des Gerüstaufstellers</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61 Abs 1 iVm § 2 Abs 2 und § 151
Abs 1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Prüfung vor erstmaliger Benützung: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p>
            <w:pPr>
              <w:numPr>
                <w:ilvl w:val="0"/>
                <w:numId w:val="50517347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Auf offensichtliche Mängel</w:t>
            </w:r>
          </w:p>
          <w:p>
            <w:pPr>
              <w:numPr>
                <w:ilvl w:val="0"/>
                <w:numId w:val="50517347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Kippsicherheit bei Metallgerüsten bzw verfahrbaren
Standgerüsten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61 Abs 2 und ggf § 65 Abs 5 bzw § 66
Abs 6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55113486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 des Gerüstbenützers</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61 Abs 2 und ggf § 65 Abs 5 bzw § 66
Abs 6 iVm § 2 Abs 2 und § 151 Abs 1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Wiederkehrende Prüfungen: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Zeitintervall:</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16065819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Monatlich bei Systemgerüsten</w:t>
            </w:r>
          </w:p>
          <w:p>
            <w:pPr>
              <w:numPr>
                <w:ilvl w:val="0"/>
                <w:numId w:val="160658195"/>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Wöchentlich bei sonstigen Gerüsten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61 Abs 2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515329556"/>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 des Gerüstbenützers</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61 Abs 2 und ggf § 65 Abs 5 bzw § 66
Abs 6 iVm § 2 Abs 2 und § 151 Abs 1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Außerordentliche Prüfungen: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nach längeren Arbeitsunterbrechungen, nach
Sturm, starkem Regen oder Schlechtwetterperioden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61 Abs 2 zweiter Satz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Prüforgan: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numPr>
                <w:ilvl w:val="0"/>
                <w:numId w:val="61306385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Fachkundige Person des Gerüstbenützers</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61 Abs 2 iVm § 2 Abs 2 und § 151
Abs 1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Wartung, Instandhaltung: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62 Abs 2 BauV, BGBl 340/1994 idF BGBl II
241/2017 iVm § 38 Abs 1 und § 17 Abs 1 ASchG,
BGBl 450/1994 idF BGBl I 126/2017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Zulässiges Wartungsorgan:</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Keine Festlegung – sinngemäß:</w:t>
            </w:r>
          </w:p>
          <w:p>
            <w:pPr>
              <w:numPr>
                <w:ilvl w:val="0"/>
                <w:numId w:val="30211521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Geeignete fachkundige Personen (auch Betriebsangehörige)</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t>
            </w:r>
          </w:p>
        </w:tc>
      </w:tr>
    </w:tbl>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2000"/>
        <w:gridCol w:w="3000"/>
      </w:tblGrid>
      <w:tr>
        <w:trPr>
          <w:trHeight w:val="0" w:hRule="atLeast"/>
        </w:trPr>
        <w:tc>
          <w:tcPr>
            <w:tcW w:w="5000" w:type="pct"/>
            <w:gridSpan w:val="2"/>
            <w:tcBorders>
              <w:top w:val="single" w:color="000000" w:sz="2"/>
              <w:left w:val="single" w:color="000000" w:sz="2"/>
              <w:bottom w:val="single" w:color="000000" w:sz="2"/>
              <w:right w:val="single" w:color="000000" w:sz="2"/>
            </w:tcBorders>
            <w:shd w:val="clear" w:color="auto" w:fill="D9D9D9"/>
            <w:tcMar>
              <w:top w:w="156" w:type="dxa"/>
              <w:left w:w="0" w:type="auto"/>
              <w:bottom w:w="78" w:type="dxa"/>
              <w:right w:w="0" w:type="auto"/>
            </w:tcMar>
            <w:vAlign w:val="top"/>
          </w:tcPr>
          <w:p>
            <w:pPr>
              <w:widowControl w:val="on"/>
              <w:pBdr/>
              <w:shd w:val="clear" w:color="auto" w:fill="D9D9D9"/>
              <w:spacing w:before="0" w:after="0" w:line="277" w:lineRule="auto"/>
              <w:ind w:left="0" w:right="0"/>
              <w:jc w:val="center"/>
              <w:textAlignment w:val="top"/>
            </w:pPr>
            <w:r>
              <w:rPr>
                <w:rFonts w:ascii="Arial" w:hAnsi="Arial" w:eastAsia="Arial" w:cs="Arial"/>
                <w:b/>
                <w:bCs/>
                <w:color w:val="000000"/>
                <w:position w:val="0"/>
                <w:sz w:val="22"/>
                <w:szCs w:val="22"/>
                <w:shd w:val="clear" w:color="auto" w:fill="D9D9D9"/>
              </w:rPr>
              <w:t xml:space="preserve">Notwendige Dokumentationen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Aufzeichnungen</w:t>
            </w:r>
            <w:r>
              <w:rPr>
                <w:rFonts w:ascii="Arial" w:hAnsi="Arial" w:eastAsia="Arial" w:cs="Arial"/>
                <w:color w:val="000000"/>
                <w:position w:val="0"/>
                <w:sz w:val="20"/>
                <w:szCs w:val="20"/>
                <w:shd w:val="clear" w:color="auto" w:fill="FFFFFF"/>
              </w:rPr>
              <w:t xml:space="preserve"> betreffend Prüfungen
(Prüfbefunde):</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ja</w:t>
            </w:r>
            <w:r>
              <w:rPr>
                <w:rFonts w:ascii="Arial" w:hAnsi="Arial" w:eastAsia="Arial" w:cs="Arial"/>
                <w:color w:val="000000"/>
                <w:position w:val="0"/>
                <w:sz w:val="20"/>
                <w:szCs w:val="20"/>
                <w:shd w:val="clear" w:color="auto" w:fill="FFFFFF"/>
              </w:rPr>
              <w:t xml:space="preserve"> – für:</w:t>
            </w:r>
          </w:p>
          <w:p>
            <w:pPr>
              <w:numPr>
                <w:ilvl w:val="0"/>
                <w:numId w:val="92537052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 vor Aufstellung</w:t>
            </w:r>
          </w:p>
          <w:p>
            <w:pPr>
              <w:numPr>
                <w:ilvl w:val="0"/>
                <w:numId w:val="925370520"/>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Nachweis der Kippsicherheit bei Metallgerüsten bzw verfahrbaren
Standgerüsten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Zusätzlich, wenn Absturzgefahr von mehr als 2 m oder in
Gewässer bzw in Stoffe mit Gefahr des Versinkens besteht:</w:t>
            </w:r>
          </w:p>
          <w:p>
            <w:pPr>
              <w:numPr>
                <w:ilvl w:val="0"/>
                <w:numId w:val="30282040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Überprüfung nach Fertigstellung</w:t>
            </w:r>
          </w:p>
          <w:p>
            <w:pPr>
              <w:numPr>
                <w:ilvl w:val="0"/>
                <w:numId w:val="30282040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 vor erstmaliger Benützung</w:t>
            </w:r>
          </w:p>
          <w:p>
            <w:pPr>
              <w:numPr>
                <w:ilvl w:val="0"/>
                <w:numId w:val="30282040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Wiederkehrende Prüfungen</w:t>
            </w:r>
          </w:p>
          <w:p>
            <w:pPr>
              <w:numPr>
                <w:ilvl w:val="0"/>
                <w:numId w:val="302820403"/>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Außerordentliche Prüfungen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159 Abs 2 iVm § 61 Abs 5 und § 7
Abs 2 Z 2 od 4 BauV, BGBl 340/1994 idF BGBl II
241/2017</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Aufbewahrung auf der Baustelle:</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Prüfbefunde oder Kopien für:</w:t>
            </w:r>
          </w:p>
          <w:p>
            <w:pPr>
              <w:numPr>
                <w:ilvl w:val="0"/>
                <w:numId w:val="89154904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 vor Aufstellung</w:t>
            </w:r>
          </w:p>
          <w:p>
            <w:pPr>
              <w:numPr>
                <w:ilvl w:val="0"/>
                <w:numId w:val="89154904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Nachweis der Kippsicherheit bei Metallgerüsten bzw
verfahrbaren Standgerüsten</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Zusätzlich, wenn Absturzgefahr von mehr als 2 m oder in
Gewässer bzw in Stoffe mit Gefahr des Versinkens besteht, für:</w:t>
            </w:r>
          </w:p>
          <w:p>
            <w:pPr>
              <w:numPr>
                <w:ilvl w:val="0"/>
                <w:numId w:val="4340708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 nach Fertigstellung</w:t>
            </w:r>
          </w:p>
          <w:p>
            <w:pPr>
              <w:numPr>
                <w:ilvl w:val="0"/>
                <w:numId w:val="4340708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Prüfung vor erstmaliger Benützung</w:t>
            </w:r>
          </w:p>
          <w:p>
            <w:pPr>
              <w:numPr>
                <w:ilvl w:val="0"/>
                <w:numId w:val="4340708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Wiederkehrende Prüfungen</w:t>
            </w:r>
          </w:p>
          <w:p>
            <w:pPr>
              <w:numPr>
                <w:ilvl w:val="0"/>
                <w:numId w:val="43407085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Außerordentliche Prüfungen</w:t>
            </w:r>
          </w:p>
        </w:tc>
      </w:tr>
      <w:tr>
        <w:trPr>
          <w:trHeight w:val="0" w:hRule="atLeast"/>
        </w:trPr>
        <w:tc>
          <w:tcPr>
            <w:tcW w:w="2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Gesetzliche Bestimmung:</w:t>
            </w:r>
          </w:p>
        </w:tc>
        <w:tc>
          <w:tcPr>
            <w:tcW w:w="3000" w:type="pc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159 Abs 2 iVm § 61 Abs 5 BauV,
BGBl 340/1994 idF BGBl II 241/2017</w:t>
            </w:r>
          </w:p>
        </w:tc>
      </w:tr>
    </w:tbl>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Erläuterungen zur BauarbeiterschutzV (BauV)</w:t>
      </w:r>
    </w:p>
    <w:p>
      <w:pPr>
        <w:widowControl w:val="on"/>
        <w:pBdr/>
        <w:spacing w:before="140" w:after="240" w:line="288" w:lineRule="auto"/>
        <w:ind w:left="0" w:right="0"/>
        <w:jc w:val="left"/>
      </w:pPr>
      <w:r>
        <w:rPr>
          <w:rFonts w:ascii="Arial" w:hAnsi="Arial" w:eastAsia="Arial" w:cs="Arial"/>
          <w:color w:val="000000"/>
          <w:sz w:val="20"/>
          <w:szCs w:val="20"/>
        </w:rPr>
        <w:t xml:space="preserve">Die Bauarbeiterschutzverordnung (Verordnung des Bundesministers
für Arbeit, Soziales und Konsumentenschutz über Sicherheit und
Gesundheitsschutz auf Baustellen und auf auswärtigen Arbeitsstellen
[Bauarbeiterschutzverordnung – BauV]), BGBl 340/1994 idF
BGBl II 241/2017, legt allgemeine Maßnahmen zum Schutz der
ArbeitnehmerInnen bei der Durchführung von Bauarbeiten, ausgenommen
bei Tagbauarbeiten (Anm: für Tagbauarbeiten gelten die Regelungen
der Tagbauverordnung – TAV, BGBl II 416/2010), fest.
Bauarbeiten iSd Begriffsbestimmungen des § 1 BauV sind
Arbeiten zur Herstellung, Instandhaltung, Sanierung, Reparatur,
Änderung und Beseitigung von baulichen Anlagen aller Art,
einschließlich der hiefür erforderlichen Vorbereitungs- und
Abschlussarbeiten, insbesondere auch Zimmerer-, Dachdecker-,
Glaser-, Maler-, Anstreicher-, Spengler-, Fliesenleger-, Estrich-,
Isolierarbeiten und Gerüstbauarbeiten, Stahlbauarbeiten, Gas-,
Wasser-, Heizungs-, Lüftungs- und Elektroinstallationsarbeiten,
Sprengarbeiten, Abbrucharbeiten sowie Fassadenreinigungsarbeiten
und Rauchfangkehrerarbeiten. Als Bauarbeiten gelten auch
Erdarbeiten, wie Aufschüttungen, Auf- und Abgrabungen sowie die
Herstellung von künstlichen Hohlräumen unterhalb der
Erdoberfläche.</w:t>
      </w:r>
    </w:p>
    <w:p>
      <w:pPr>
        <w:widowControl w:val="on"/>
        <w:pBdr/>
        <w:spacing w:before="140" w:after="240" w:line="288" w:lineRule="auto"/>
        <w:ind w:left="0" w:right="0"/>
        <w:jc w:val="left"/>
      </w:pPr>
      <w:r>
        <w:rPr>
          <w:rFonts w:ascii="Arial" w:hAnsi="Arial" w:eastAsia="Arial" w:cs="Arial"/>
          <w:color w:val="000000"/>
          <w:sz w:val="20"/>
          <w:szCs w:val="20"/>
        </w:rPr>
        <w:t xml:space="preserve">Zu beachten ist, dass für die Benutzung von Gerüsten außerhalb
von Baustellen gem § 40 Arbeitsmittelverordnung (AM-VO),
BGBl 340/1994 idF BGBl II 21/2010, die Bestimmungen der
§§ 55 bis 73 BauV gleichfalls gelten.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Prüfungen, Prüffristen</w:t>
      </w:r>
    </w:p>
    <w:p>
      <w:pPr>
        <w:widowControl w:val="on"/>
        <w:pBdr/>
        <w:spacing w:before="140" w:after="240" w:line="288" w:lineRule="auto"/>
        <w:ind w:left="0" w:right="0"/>
        <w:jc w:val="left"/>
      </w:pPr>
      <w:r>
        <w:rPr>
          <w:rFonts w:ascii="Arial" w:hAnsi="Arial" w:eastAsia="Arial" w:cs="Arial"/>
          <w:color w:val="000000"/>
          <w:sz w:val="20"/>
          <w:szCs w:val="20"/>
        </w:rPr>
        <w:t xml:space="preserve">Gerüste sind gem § 60 Abs 2 BauV beim Aufstellen
einer Prüfung auf offensichtliche Mängel aller zur Verwendung
kommenden Gerüstbauteile und gem § 61 Abs 1 nach
ihrer Fertigstellung einer Überprüfung zu unterziehen. Gem
Abs 2 dieser Bestimmung sind Gerüste vor ihrer erstmaligen
Benützung und in weiterer Folge einmal wöchentlich, Systemgerüste
mindestens einmal monatlich, auf offensichtliche Mängel zu prüfen.
Zusätzliche Prüfungen sind nach längeren Arbeitsunterbrechungen,
nach Sturm, starkem Regen, Frost oder sonstigen
Schlechtwetterperioden vorzunehmen.</w:t>
      </w:r>
    </w:p>
    <w:p>
      <w:pPr>
        <w:widowControl w:val="on"/>
        <w:pBdr/>
        <w:spacing w:before="140" w:after="240" w:line="288" w:lineRule="auto"/>
        <w:ind w:left="0" w:right="0"/>
        <w:jc w:val="left"/>
      </w:pPr>
      <w:r>
        <w:rPr>
          <w:rFonts w:ascii="Arial" w:hAnsi="Arial" w:eastAsia="Arial" w:cs="Arial"/>
          <w:color w:val="000000"/>
          <w:sz w:val="20"/>
          <w:szCs w:val="20"/>
        </w:rPr>
        <w:t xml:space="preserve">Für nicht verankerte Metallgerüste ist gem § 65
Abs 5 BauV der Nachweis zu erbringen, dass die Sicherheit
gegen Kippen gegeben ist, sofern die Kippsicherheit nicht durch
Angaben des Herstellers belegt ist. Der Nachweis kann entfallen,
wenn die in der Bestimmung angeführten Voraussetzungen des
Metallgerüsts gegeben sind. Dies gilt gem § 66 Abs 6
der Verordnung auch für verfahrbare Standgerüste.</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der AM-VO und der BauV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AM-VO § 40 Gerüste</w:t>
      </w:r>
    </w:p>
    <w:p>
      <w:pPr>
        <w:widowControl w:val="on"/>
        <w:pBdr/>
        <w:spacing w:before="140" w:after="240" w:line="288" w:lineRule="auto"/>
        <w:ind w:left="0" w:right="0"/>
        <w:jc w:val="left"/>
      </w:pPr>
      <w:r>
        <w:rPr>
          <w:rFonts w:ascii="Arial" w:hAnsi="Arial" w:eastAsia="Arial" w:cs="Arial"/>
          <w:i/>
          <w:iCs/>
          <w:color w:val="000000"/>
          <w:sz w:val="20"/>
          <w:szCs w:val="20"/>
        </w:rPr>
        <w:t xml:space="preserve">§ 40 Für die Benutzung von Gerüsten außerhalb von
Baustellen gelten die §§ 55 bis 73 der
Bauarbeiterschutzverordnung (BauV), BGBl 340/1994, zuletzt
geändert durch BGBl II Nr 368/1998. (Anm: nunmehr
BGBl II Nr 241/2017)</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60 Gerüste – Aufstellen und Abtragen von
Gerüsten</w:t>
      </w:r>
    </w:p>
    <w:p>
      <w:pPr>
        <w:widowControl w:val="on"/>
        <w:pBdr/>
        <w:spacing w:before="140" w:after="240" w:line="288" w:lineRule="auto"/>
        <w:ind w:left="0" w:right="0"/>
        <w:jc w:val="left"/>
      </w:pPr>
      <w:r>
        <w:rPr>
          <w:rFonts w:ascii="Arial" w:hAnsi="Arial" w:eastAsia="Arial" w:cs="Arial"/>
          <w:i/>
          <w:iCs/>
          <w:color w:val="000000"/>
          <w:sz w:val="20"/>
          <w:szCs w:val="20"/>
        </w:rPr>
        <w:t xml:space="preserve">§ 60 (2) Beim Aufstellen von Gerüsten sind alle zur
Verwendung kommenden Gerüstbauteile … auf offensichtliche Mängel zu
prüfen. Gerüstbauteile mit offensichtlichen Mängeln dürfen nicht
verwendet werden.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61 Gerüste – Prüfung von Gerüsten</w:t>
      </w:r>
    </w:p>
    <w:p>
      <w:pPr>
        <w:widowControl w:val="on"/>
        <w:pBdr/>
        <w:spacing w:before="140" w:after="240" w:line="288" w:lineRule="auto"/>
        <w:ind w:left="0" w:right="0"/>
        <w:jc w:val="left"/>
      </w:pPr>
      <w:r>
        <w:rPr>
          <w:rFonts w:ascii="Arial" w:hAnsi="Arial" w:eastAsia="Arial" w:cs="Arial"/>
          <w:i/>
          <w:iCs/>
          <w:color w:val="000000"/>
          <w:sz w:val="20"/>
          <w:szCs w:val="20"/>
        </w:rPr>
        <w:t xml:space="preserve">§ 61 (1) Gerüste sind nach ihrer Fertigstellung einer
Überprüfung … zu unterziehen.</w:t>
      </w:r>
    </w:p>
    <w:p>
      <w:pPr>
        <w:widowControl w:val="on"/>
        <w:pBdr/>
        <w:spacing w:before="140" w:after="240" w:line="288" w:lineRule="auto"/>
        <w:ind w:left="0" w:right="0"/>
        <w:jc w:val="left"/>
      </w:pPr>
      <w:r>
        <w:rPr>
          <w:rFonts w:ascii="Arial" w:hAnsi="Arial" w:eastAsia="Arial" w:cs="Arial"/>
          <w:i/>
          <w:iCs/>
          <w:color w:val="000000"/>
          <w:sz w:val="20"/>
          <w:szCs w:val="20"/>
        </w:rPr>
        <w:t xml:space="preserve">(2) Gerüste sind vor ihrer erstmaligen Benützung … auf
offensichtliche Mängel zu prüfen. Solche Prüfungen sind nach jeder
längeren Arbeitsunterbrechung, nach Sturm, starkem Regen, Frost
oder sonstigen Schlechtwetterperioden, bei Systemgerüsten
mindestens einmal monatlich, bei sonstigen Gerüsten mindestens
einmal wöchentlich, auf offensichtliche Mängel
durchzuführen.</w:t>
      </w:r>
    </w:p>
    <w:p>
      <w:pPr>
        <w:widowControl w:val="on"/>
        <w:pBdr/>
        <w:spacing w:before="140" w:after="240" w:line="288" w:lineRule="auto"/>
        <w:ind w:left="0" w:right="0"/>
        <w:jc w:val="left"/>
      </w:pPr>
      <w:r>
        <w:rPr>
          <w:rFonts w:ascii="Arial" w:hAnsi="Arial" w:eastAsia="Arial" w:cs="Arial"/>
          <w:i/>
          <w:iCs/>
          <w:color w:val="000000"/>
          <w:sz w:val="20"/>
          <w:szCs w:val="20"/>
        </w:rPr>
        <w:t xml:space="preserve">(3) Hängegerüste (Anm: für fahrbare und verfahrbare
Hängegerüste s Prüfblatt „Hängegerüste“)</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65 Gerüste – Metallgerüste</w:t>
      </w:r>
    </w:p>
    <w:p>
      <w:pPr>
        <w:widowControl w:val="on"/>
        <w:pBdr/>
        <w:spacing w:before="140" w:after="240" w:line="288" w:lineRule="auto"/>
        <w:ind w:left="0" w:right="0"/>
        <w:jc w:val="left"/>
      </w:pPr>
      <w:r>
        <w:rPr>
          <w:rFonts w:ascii="Arial" w:hAnsi="Arial" w:eastAsia="Arial" w:cs="Arial"/>
          <w:i/>
          <w:iCs/>
          <w:color w:val="000000"/>
          <w:sz w:val="20"/>
          <w:szCs w:val="20"/>
        </w:rPr>
        <w:t xml:space="preserve">§ 65 (5) Bei nicht verankerten Gerüsten ist die
Sicherheit gegen Kippen … nachzuweisen, sofern nicht entsprechende
Herstellerangaben über die Kippsicherheit vorliegen. Der Nachweis
der Kippsicherheit ist nicht erforderlich, wenn</w:t>
      </w:r>
    </w:p>
    <w:p>
      <w:pPr>
        <w:numPr>
          <w:ilvl w:val="0"/>
          <w:numId w:val="792348245"/>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Stahlrohrgerüstmaterial und Pfostenbelag oder andere, in
Bezug auf das spezifische Gewicht vergleichbare, Materialien zur
Verwendung gelangen und</w:t>
      </w:r>
    </w:p>
    <w:p>
      <w:pPr>
        <w:numPr>
          <w:ilvl w:val="0"/>
          <w:numId w:val="792348245"/>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der Abstand der Aufstandsfläche zur obersten Gerüstlage
nicht mehr als 6,00 m beträgt und</w:t>
      </w:r>
    </w:p>
    <w:p>
      <w:pPr>
        <w:numPr>
          <w:ilvl w:val="0"/>
          <w:numId w:val="792348245"/>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die kleinste Aufstandsbreite bei Aufstellung des Gerüsts im
Freien mindestens 4,00 m, bei Aufstellung in geschlossenen Räumen
mindestens 2,00 m beträgt.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66 Gerüste – Verfahrbare Standgerüste</w:t>
      </w:r>
    </w:p>
    <w:p>
      <w:pPr>
        <w:widowControl w:val="on"/>
        <w:pBdr/>
        <w:spacing w:before="140" w:after="240" w:line="288" w:lineRule="auto"/>
        <w:ind w:left="0" w:right="0"/>
        <w:jc w:val="left"/>
      </w:pPr>
      <w:r>
        <w:rPr>
          <w:rFonts w:ascii="Arial" w:hAnsi="Arial" w:eastAsia="Arial" w:cs="Arial"/>
          <w:i/>
          <w:iCs/>
          <w:color w:val="000000"/>
          <w:sz w:val="20"/>
          <w:szCs w:val="20"/>
        </w:rPr>
        <w:t xml:space="preserve">§ 66 (6) § 65 Abs 5 ist anzuwenden.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151 Instandhaltung, Prüfung, Reinigung und
Unterweisung –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151 (1) Betriebseinrichtungen, … für die im I. oder
im II. Hauptstück Prüfungen ihres ordnungsgemäßen Zustands
vorgesehen sind, dürfen nur verwendet werden, wenn diese Prüfungen
durchgeführt und dabei festgestellte Mängel beseitigt wurden.
…</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Zulässiges Prüforgan</w:t>
      </w:r>
    </w:p>
    <w:p>
      <w:pPr>
        <w:widowControl w:val="on"/>
        <w:pBdr/>
        <w:spacing w:before="140" w:after="240" w:line="288" w:lineRule="auto"/>
        <w:ind w:left="0" w:right="0"/>
        <w:jc w:val="left"/>
      </w:pPr>
      <w:r>
        <w:rPr>
          <w:rFonts w:ascii="Arial" w:hAnsi="Arial" w:eastAsia="Arial" w:cs="Arial"/>
          <w:color w:val="000000"/>
          <w:sz w:val="20"/>
          <w:szCs w:val="20"/>
        </w:rPr>
        <w:t xml:space="preserve">Der Personenkreis, der die gem § 60 Abs 2 BauV
vorzunehmenden Prüfungen der Gerüstteile vor dem Aufstellen,
gem § 61 Abs 1 der Verordnung die Prüfung nach der
Fertigstellung und gem Abs 2 dieser Bestimmung die
Prüfung vor der erstmaligen Benützung sowie die außerordentlichen
Prüfungen nach längeren Arbeitsunterbrechungen und
außerordentlichen Ereignissen durchführen oder gem § 65
Abs 5 der Verordnung ggf den Nachweis der Kippsicherheit von
Metallgerüsten erbringen darf, ist in § 151 Abs 1 der
Verordnung mit Ziviltechniker des hiefür in Betracht kommenden
Fachgebietes, fachkundige Personen des Technischen
Überwachungsvereins oder sonstige geeignete, fachkundige und hiezu
berechtigte Personen, die auch Betriebsangehörige sein können,
bezeichnet. Hierbei ist zu beachten, dass gem § 61
Abs 1 die Überprüfung des Gerüsts nach Aufstellung von
fachkundigen Personen des Gerüstaufstellers und gem Abs 2
dieser Bestimmung die Überprüfung vor der erstmaligen Benützung
durch fachkundige Personen des Gerüstbenützers zu erfolgen hat. Als
„fachkundig“ gelten gem den Begriffsbestimmungen des § 2
Abs 2 der Verordnung Personen, die die erforderlichen
fachlichen Kenntnisse und Berufserfahrung besitzen. Hinzuweisen
ist, dass nach den Begriffsbestimmungen des § 2 Abs 2 der
Verordnung zusätzlich auch Angehörige staatlicher Einrichtungen als
„fachkundige Personen“ gelten.</w:t>
      </w:r>
    </w:p>
    <w:p>
      <w:pPr>
        <w:widowControl w:val="on"/>
        <w:pBdr/>
        <w:spacing w:before="140" w:after="240" w:line="288" w:lineRule="auto"/>
        <w:ind w:left="0" w:right="0"/>
        <w:jc w:val="left"/>
      </w:pPr>
      <w:r>
        <w:rPr>
          <w:rFonts w:ascii="Arial" w:hAnsi="Arial" w:eastAsia="Arial" w:cs="Arial"/>
          <w:color w:val="000000"/>
          <w:sz w:val="20"/>
          <w:szCs w:val="20"/>
        </w:rPr>
        <w:t xml:space="preserve">Die diesbezüglichen Bestimmungen der BauV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60 Gerüste – Aufstellen und Abtragen von
Gerüsten</w:t>
      </w:r>
    </w:p>
    <w:p>
      <w:pPr>
        <w:widowControl w:val="on"/>
        <w:pBdr/>
        <w:spacing w:before="140" w:after="240" w:line="288" w:lineRule="auto"/>
        <w:ind w:left="0" w:right="0"/>
        <w:jc w:val="left"/>
      </w:pPr>
      <w:r>
        <w:rPr>
          <w:rFonts w:ascii="Arial" w:hAnsi="Arial" w:eastAsia="Arial" w:cs="Arial"/>
          <w:i/>
          <w:iCs/>
          <w:color w:val="000000"/>
          <w:sz w:val="20"/>
          <w:szCs w:val="20"/>
        </w:rPr>
        <w:t xml:space="preserve">§ 60 (2) Beim Aufstellen von Gerüsten sind alle zur
Verwendung kommenden Gerüstbauteile durch eine fachkundige Person …
zu prüfen.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61 Gerüste – Prüfung von Gerüsten</w:t>
      </w:r>
    </w:p>
    <w:p>
      <w:pPr>
        <w:widowControl w:val="on"/>
        <w:pBdr/>
        <w:spacing w:before="140" w:after="240" w:line="288" w:lineRule="auto"/>
        <w:ind w:left="0" w:right="0"/>
        <w:jc w:val="left"/>
      </w:pPr>
      <w:r>
        <w:rPr>
          <w:rFonts w:ascii="Arial" w:hAnsi="Arial" w:eastAsia="Arial" w:cs="Arial"/>
          <w:i/>
          <w:iCs/>
          <w:color w:val="000000"/>
          <w:sz w:val="20"/>
          <w:szCs w:val="20"/>
        </w:rPr>
        <w:t xml:space="preserve">§ 61 (1) Gerüste sind nach ihrer Fertigstellung einer
Überprüfung durch eine fachkundige Person des Gerüstaufstellers zu
unterziehen.</w:t>
      </w:r>
    </w:p>
    <w:p>
      <w:pPr>
        <w:widowControl w:val="on"/>
        <w:pBdr/>
        <w:spacing w:before="140" w:after="240" w:line="288" w:lineRule="auto"/>
        <w:ind w:left="0" w:right="0"/>
        <w:jc w:val="left"/>
      </w:pPr>
      <w:r>
        <w:rPr>
          <w:rFonts w:ascii="Arial" w:hAnsi="Arial" w:eastAsia="Arial" w:cs="Arial"/>
          <w:i/>
          <w:iCs/>
          <w:color w:val="000000"/>
          <w:sz w:val="20"/>
          <w:szCs w:val="20"/>
        </w:rPr>
        <w:t xml:space="preserve">(2) Gerüste sind vor ihrer erstmaligen Benützung von einer
fachkundigen Person des Gerüstbenützers … zu prüfen.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65 Gerüste – Metallgerüste</w:t>
      </w:r>
    </w:p>
    <w:p>
      <w:pPr>
        <w:widowControl w:val="on"/>
        <w:pBdr/>
        <w:spacing w:before="140" w:after="240" w:line="288" w:lineRule="auto"/>
        <w:ind w:left="0" w:right="0"/>
        <w:jc w:val="left"/>
      </w:pPr>
      <w:r>
        <w:rPr>
          <w:rFonts w:ascii="Arial" w:hAnsi="Arial" w:eastAsia="Arial" w:cs="Arial"/>
          <w:i/>
          <w:iCs/>
          <w:color w:val="000000"/>
          <w:sz w:val="20"/>
          <w:szCs w:val="20"/>
        </w:rPr>
        <w:t xml:space="preserve">§ 65 (5) Bei nicht verankerten Gerüsten ist die
Sicherheit gegen Kippen durch eine fachkundige Person nachzuweisen,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66 Gerüste – Verfahrbare Standgerüste</w:t>
      </w:r>
    </w:p>
    <w:p>
      <w:pPr>
        <w:widowControl w:val="on"/>
        <w:pBdr/>
        <w:spacing w:before="140" w:after="240" w:line="288" w:lineRule="auto"/>
        <w:ind w:left="0" w:right="0"/>
        <w:jc w:val="left"/>
      </w:pPr>
      <w:r>
        <w:rPr>
          <w:rFonts w:ascii="Arial" w:hAnsi="Arial" w:eastAsia="Arial" w:cs="Arial"/>
          <w:i/>
          <w:iCs/>
          <w:color w:val="000000"/>
          <w:sz w:val="20"/>
          <w:szCs w:val="20"/>
        </w:rPr>
        <w:t xml:space="preserve">§ 66 (6) § 65 Abs 5 ist anzuwenden.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151 Instandhaltung, Prüfung, Reinigung und
Unterweisung – Prüfungen</w:t>
      </w:r>
    </w:p>
    <w:p>
      <w:pPr>
        <w:widowControl w:val="on"/>
        <w:pBdr/>
        <w:spacing w:before="140" w:after="240" w:line="288" w:lineRule="auto"/>
        <w:ind w:left="0" w:right="0"/>
        <w:jc w:val="left"/>
      </w:pPr>
      <w:r>
        <w:rPr>
          <w:rFonts w:ascii="Arial" w:hAnsi="Arial" w:eastAsia="Arial" w:cs="Arial"/>
          <w:i/>
          <w:iCs/>
          <w:color w:val="000000"/>
          <w:sz w:val="20"/>
          <w:szCs w:val="20"/>
        </w:rPr>
        <w:t xml:space="preserve">§ 151 (1) … Die Prüfungen sind von Ziviltechnikern des
hiefür in Betracht kommenden Fachgebietes, fachkundigen Organen des
Technischen Überwachungsvereines oder von sonstigen geeigneten,
fachkundigen und hierzu berechtigten Personen durchzuführen, die
auch Betriebsangehörige sein können.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2 Allgemeine Bestimmungen –
Begriffsbestimmungen</w:t>
      </w:r>
    </w:p>
    <w:p>
      <w:pPr>
        <w:widowControl w:val="on"/>
        <w:pBdr/>
        <w:spacing w:before="140" w:after="240" w:line="288" w:lineRule="auto"/>
        <w:ind w:left="0" w:right="0"/>
        <w:jc w:val="left"/>
      </w:pPr>
      <w:r>
        <w:rPr>
          <w:rFonts w:ascii="Arial" w:hAnsi="Arial" w:eastAsia="Arial" w:cs="Arial"/>
          <w:i/>
          <w:iCs/>
          <w:color w:val="000000"/>
          <w:sz w:val="20"/>
          <w:szCs w:val="20"/>
        </w:rPr>
        <w:t xml:space="preserve">§ 2 (2) Fachkundige im Sinne dieser Verordnung sind
Personen, die die erforderlichen fachlichen Kenntnisse und
Berufserfahrungen besitzen und auch die Gewähr für eine
gewissenhafte Durchführung der ihnen übertragenen Arbeiten bieten.
Als fachkundige Personen im Sinne dieser Verordnung gelten
fachkundige Organe von Anstalten des Bundes oder eines
Bundeslandes, von staatlich autorisierten Anstalten, sowie
Ziviltechniker oder Gewerbetreibende, jeweils im Rahmen ihrer
Befugnisse. Als fachkundige Personen können auch Betriebsangehörige
eingesetzt werden.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4 Allgemeine Bestimmungen – Aufsicht und Koordination</w:t>
      </w:r>
    </w:p>
    <w:p>
      <w:pPr>
        <w:widowControl w:val="on"/>
        <w:pBdr/>
        <w:spacing w:before="140" w:after="240" w:line="288" w:lineRule="auto"/>
        <w:ind w:left="0" w:right="0"/>
        <w:jc w:val="left"/>
      </w:pPr>
      <w:r>
        <w:rPr>
          <w:rFonts w:ascii="Arial" w:hAnsi="Arial" w:eastAsia="Arial" w:cs="Arial"/>
          <w:i/>
          <w:iCs/>
          <w:color w:val="000000"/>
          <w:sz w:val="20"/>
          <w:szCs w:val="20"/>
        </w:rPr>
        <w:t xml:space="preserve">§ 4 (1) Bauarbeiten dürfen nur unter Aufsicht einer
geeigneten Aufsichtsperson, mit der erforderlichen Sorgfalt und
nach fachmännischen Grundsätzen durchgeführt werden. Als
Aufsichtsperson kann der Arbeitgeber oder eine von ihm
bevollmächtigte, mit entsprechenden Befugnissen ausgestattete
Person tätig sein. Als Aufsichtsperson ist nur geeignet,
wer</w:t>
      </w:r>
    </w:p>
    <w:p>
      <w:pPr>
        <w:numPr>
          <w:ilvl w:val="0"/>
          <w:numId w:val="752918929"/>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die für die auszuführenden Arbeiten erforderlichen
theoretischen und praktischen Kenntnisse und die Erfahrungen in
allen Fragen besitzt, die mit den in Betracht kommenden Arbeiten
vom Standpunkt der Sicherheit zusammenhängen,</w:t>
      </w:r>
    </w:p>
    <w:p>
      <w:pPr>
        <w:numPr>
          <w:ilvl w:val="0"/>
          <w:numId w:val="752918929"/>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Kenntnisse über die in Betracht kommenden
Arbeitnehmerschutzvorschriften besitzt und</w:t>
      </w:r>
    </w:p>
    <w:p>
      <w:pPr>
        <w:numPr>
          <w:ilvl w:val="0"/>
          <w:numId w:val="752918929"/>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Gewähr für eine gewissenhafte Durchführung der übertragenen
Aufgaben bietet.</w:t>
      </w:r>
    </w:p>
    <w:p>
      <w:pPr>
        <w:widowControl w:val="on"/>
        <w:pBdr/>
        <w:spacing w:before="140" w:after="240" w:line="288" w:lineRule="auto"/>
        <w:ind w:left="0" w:right="0"/>
        <w:jc w:val="left"/>
      </w:pPr>
      <w:r>
        <w:rPr>
          <w:rFonts w:ascii="Arial" w:hAnsi="Arial" w:eastAsia="Arial" w:cs="Arial"/>
          <w:i/>
          <w:iCs/>
          <w:color w:val="000000"/>
          <w:sz w:val="20"/>
          <w:szCs w:val="20"/>
        </w:rPr>
        <w:t xml:space="preserve">(3) Die erforderlichen Kenntnisse gemäß Abs 1 Z 2
sind in geeigneter Form nachzuweisen, zB durch ein Zeugnis über die
erforderliche Ablegung einer Meisterprüfung.</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Aufzeichnungen</w:t>
      </w:r>
    </w:p>
    <w:p>
      <w:pPr>
        <w:widowControl w:val="on"/>
        <w:pBdr/>
        <w:spacing w:before="140" w:after="240" w:line="288" w:lineRule="auto"/>
        <w:ind w:left="0" w:right="0"/>
        <w:jc w:val="left"/>
      </w:pPr>
      <w:r>
        <w:rPr>
          <w:rFonts w:ascii="Arial" w:hAnsi="Arial" w:eastAsia="Arial" w:cs="Arial"/>
          <w:color w:val="000000"/>
          <w:sz w:val="20"/>
          <w:szCs w:val="20"/>
        </w:rPr>
        <w:t xml:space="preserve">Über die von den beauftragten fachkundigen Personen
gem § 60 Abs 2 BauV durchgeführte Prüfung der
Gerüstbauteile vor dem Aufstellen des Gerüsts ist ein Prüfvormerk
bzw -bericht zu erstellen, der gem § 159 Abs 2 BauV
auf der Baustelle zur Einsichtnahme aufzuliegen hat. Ebenso ist der
gem § 65 Abs 5 erstellte Nachweis der Kippsicherheit
von nicht verankerten Metallgerüsten bzw gem § 66
Abs 6 von verfahrbaren Standgerüsten aufzulegen. Im Falle von
Gerüsten auf Baustellen, bei denen an Arbeitsplätzen, Standplätzen
und Verkehrswegen an oder über Gewässern oder anderen Stoffen
Absturzgefahr mit der Gefahr des Versinkens besteht oder wenn die
Absturzhöhe mehr als 2 m beträgt, sind zusätzlich die
gem § 61 Abs 1 vorgenommenen Prüfungen nach der
Aufstellung des Gerüsts und die gem Abs 2 dieser
Bestimmung durchgeführte Prüfung vor der erstmaligen Benützung des
Gerüsts, sowie die gem Abs 5 dieser Bestimmung
erforderlichen Prüfungen nach längeren Arbeitsunterbrechungen, nach
Sturm, starkem Regen, Frost oder sonstigen Schlechtwetterperioden,
auf der Baustelle aufzubewahren. Die BauV trifft keine Festlegungen
über die Aufbewahrungsdauer der Prüfvormerke, es empfiehlt sich
jedoch, diese in sinngemäßer Anwendung des § 11 Abs 3 der
ArbeitsmittelV (AM-VO) über die Dauer der Baustelle aufzubewahren.
Im Falle von Gerüsten, die außerhalb von Baustellen verwendet
werden, sind die Aufzeichnungen gem dieser Bestimmung bis zum
Ausscheiden des Gerüsts aufzubewahren.</w:t>
      </w:r>
    </w:p>
    <w:p>
      <w:pPr>
        <w:widowControl w:val="on"/>
        <w:pBdr/>
        <w:spacing w:before="140" w:after="240" w:line="288" w:lineRule="auto"/>
        <w:ind w:left="0" w:right="0"/>
        <w:jc w:val="left"/>
      </w:pPr>
      <w:r>
        <w:rPr>
          <w:rFonts w:ascii="Arial" w:hAnsi="Arial" w:eastAsia="Arial" w:cs="Arial"/>
          <w:color w:val="000000"/>
          <w:sz w:val="20"/>
          <w:szCs w:val="20"/>
        </w:rPr>
        <w:t xml:space="preserve">Die diesbezüglichen Bestimmungen der BauV und der AM-VO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159 Auflegen von Vorschriften, Vormerken und
Nachweisen</w:t>
      </w:r>
    </w:p>
    <w:p>
      <w:pPr>
        <w:widowControl w:val="on"/>
        <w:pBdr/>
        <w:spacing w:before="140" w:after="240" w:line="288" w:lineRule="auto"/>
        <w:ind w:left="0" w:right="0"/>
        <w:jc w:val="left"/>
      </w:pPr>
      <w:r>
        <w:rPr>
          <w:rFonts w:ascii="Arial" w:hAnsi="Arial" w:eastAsia="Arial" w:cs="Arial"/>
          <w:i/>
          <w:iCs/>
          <w:color w:val="000000"/>
          <w:sz w:val="20"/>
          <w:szCs w:val="20"/>
        </w:rPr>
        <w:t xml:space="preserve">§ 159 (2) Die in dieser Verordnung vorgeschriebenen
Vormerke über Prüfungen müssen auf der Baustelle zur Einsichtnahme
aufliegen.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61 Prüfung von Gerüsten</w:t>
      </w:r>
    </w:p>
    <w:p>
      <w:pPr>
        <w:widowControl w:val="on"/>
        <w:pBdr/>
        <w:spacing w:before="140" w:after="240" w:line="288" w:lineRule="auto"/>
        <w:ind w:left="0" w:right="0"/>
        <w:jc w:val="left"/>
      </w:pPr>
      <w:r>
        <w:rPr>
          <w:rFonts w:ascii="Arial" w:hAnsi="Arial" w:eastAsia="Arial" w:cs="Arial"/>
          <w:i/>
          <w:iCs/>
          <w:color w:val="000000"/>
          <w:sz w:val="20"/>
          <w:szCs w:val="20"/>
        </w:rPr>
        <w:t xml:space="preserve">§ 61 (5) Über die Überprüfungen … sind Vormerke zu
führen, wenn Absturzgefahr … besteht.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AM-VO § 11 Prüfbefund, Prüfplan</w:t>
      </w:r>
    </w:p>
    <w:p>
      <w:pPr>
        <w:widowControl w:val="on"/>
        <w:pBdr/>
        <w:spacing w:before="140" w:after="240" w:line="288" w:lineRule="auto"/>
        <w:ind w:left="0" w:right="0"/>
        <w:jc w:val="left"/>
      </w:pPr>
      <w:r>
        <w:rPr>
          <w:rFonts w:ascii="Arial" w:hAnsi="Arial" w:eastAsia="Arial" w:cs="Arial"/>
          <w:i/>
          <w:iCs/>
          <w:color w:val="000000"/>
          <w:sz w:val="20"/>
          <w:szCs w:val="20"/>
        </w:rPr>
        <w:t xml:space="preserve">§ 11 (3) Die Prüfbefunde sind von den ArbeitgeberInnen
bis zum Ausscheiden des Arbeitsmittels aufzubewahren. Am Einsatzort
des Arbeitsmittels müssen Prüfbefunde oder Kopien über die letzte
Abnahmeprüfung, über die wiederkehrenden Prüfungen und über die
Prüfungen nach Aufstellung vorhanden sein.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7 Allgemeine Bestimmungen – Absturzgefahr</w:t>
      </w:r>
    </w:p>
    <w:p>
      <w:pPr>
        <w:widowControl w:val="on"/>
        <w:pBdr/>
        <w:spacing w:before="140" w:after="240" w:line="288" w:lineRule="auto"/>
        <w:ind w:left="0" w:right="0"/>
        <w:jc w:val="left"/>
      </w:pPr>
      <w:r>
        <w:rPr>
          <w:rFonts w:ascii="Arial" w:hAnsi="Arial" w:eastAsia="Arial" w:cs="Arial"/>
          <w:i/>
          <w:iCs/>
          <w:color w:val="000000"/>
          <w:sz w:val="20"/>
          <w:szCs w:val="20"/>
        </w:rPr>
        <w:t xml:space="preserve">§ 7 (2) Absturzgefahr liegt vor:</w:t>
      </w:r>
    </w:p>
    <w:p>
      <w:pPr>
        <w:numPr>
          <w:ilvl w:val="0"/>
          <w:numId w:val="599215220"/>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w:t>
      </w:r>
    </w:p>
    <w:p>
      <w:pPr>
        <w:numPr>
          <w:ilvl w:val="0"/>
          <w:numId w:val="599215220"/>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an Arbeitsplätzen, Standplätzen und Verkehrswegen an oder
über Gewässern oder anderen Stoffen, wenn die Gefahr des Versinkens
besteht,</w:t>
      </w:r>
    </w:p>
    <w:p>
      <w:pPr>
        <w:numPr>
          <w:ilvl w:val="0"/>
          <w:numId w:val="599215220"/>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w:t>
      </w:r>
    </w:p>
    <w:p>
      <w:pPr>
        <w:numPr>
          <w:ilvl w:val="0"/>
          <w:numId w:val="599215220"/>
        </w:numPr>
        <w:spacing w:before="0" w:after="0" w:line="288" w:lineRule="auto"/>
        <w:jc w:val="left"/>
        <w:rPr>
          <w:rFonts w:ascii="Arial" w:hAnsi="Arial" w:eastAsia="Arial" w:cs="Arial"/>
          <w:color w:val="000000"/>
          <w:sz w:val="20"/>
          <w:szCs w:val="20"/>
        </w:rPr>
      </w:pPr>
      <w:r>
        <w:rPr>
          <w:rFonts w:ascii="Arial" w:hAnsi="Arial" w:eastAsia="Arial" w:cs="Arial"/>
          <w:i/>
          <w:iCs/>
          <w:color w:val="000000"/>
          <w:sz w:val="20"/>
          <w:szCs w:val="20"/>
        </w:rPr>
        <w:t xml:space="preserve">an sonstigen Arbeitsplätzen, Standplätzen und Verkehrswegen
bei mehr als 2,00 m Absturzhöhe.</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Wartung, Instandhaltung</w:t>
      </w:r>
    </w:p>
    <w:p>
      <w:pPr>
        <w:widowControl w:val="on"/>
        <w:pBdr/>
        <w:spacing w:before="140" w:after="240" w:line="288" w:lineRule="auto"/>
        <w:ind w:left="0" w:right="0"/>
        <w:jc w:val="left"/>
      </w:pPr>
      <w:r>
        <w:rPr>
          <w:rFonts w:ascii="Arial" w:hAnsi="Arial" w:eastAsia="Arial" w:cs="Arial"/>
          <w:color w:val="000000"/>
          <w:sz w:val="20"/>
          <w:szCs w:val="20"/>
        </w:rPr>
        <w:t xml:space="preserve">Arbeitsmittel sind entsprechend der allgemeinen Verpflichtung
nach § 38 Abs 1 und § 17 Abs 1 ASchG derart
nach den Angaben des Herstellers oder Inverkehrbringers zu warten
und instand zu halten, dass sie den Rechtsvorschriften entsprechen.
Dazu sieht § 150 BauV vor, dass Gerüste in gutem und
gebrauchsfähigem Zustand zu erhalten sind. Es ist zu empfehlen,
Wartungen und Instandhaltungen von Gerüsten in regelmäßigen
Abständen vorzunehmen und auch hierüber Aufzeichnungen, zB in Form
eines Wartungsbuches, zu führen.</w:t>
      </w:r>
    </w:p>
    <w:p>
      <w:pPr>
        <w:widowControl w:val="on"/>
        <w:pBdr/>
        <w:spacing w:before="140" w:after="240" w:line="288" w:lineRule="auto"/>
        <w:ind w:left="0" w:right="0"/>
        <w:jc w:val="left"/>
      </w:pPr>
      <w:r>
        <w:rPr>
          <w:rFonts w:ascii="Arial" w:hAnsi="Arial" w:eastAsia="Arial" w:cs="Arial"/>
          <w:color w:val="000000"/>
          <w:sz w:val="20"/>
          <w:szCs w:val="20"/>
        </w:rPr>
        <w:t xml:space="preserve">Die entsprechenden Bestimmungen des ASchG und der BauV
lauten: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38 Wartung von Arbeitsmitteln</w:t>
      </w:r>
    </w:p>
    <w:p>
      <w:pPr>
        <w:widowControl w:val="on"/>
        <w:pBdr/>
        <w:spacing w:before="140" w:after="240" w:line="288" w:lineRule="auto"/>
        <w:ind w:left="0" w:right="0"/>
        <w:jc w:val="left"/>
      </w:pPr>
      <w:r>
        <w:rPr>
          <w:rFonts w:ascii="Arial" w:hAnsi="Arial" w:eastAsia="Arial" w:cs="Arial"/>
          <w:i/>
          <w:iCs/>
          <w:color w:val="000000"/>
          <w:sz w:val="20"/>
          <w:szCs w:val="20"/>
        </w:rPr>
        <w:t xml:space="preserve">§ 38 (1) Arbeitgeber haben dafür zu sorgen, daß
Arbeitsmittel während der gesamten Dauer der Benutzung durch
entsprechende Wartung in einem Zustand gehalten werden, der den für
sie geltenden Rechtsvorschriften entspricht. Bei der Wartung sind
die Anleitungen der Hersteller oder Inverkehrbringer zu
berücksichtigen.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62 Gerüste – Benützung von Gerüsten</w:t>
      </w:r>
    </w:p>
    <w:p>
      <w:pPr>
        <w:widowControl w:val="on"/>
        <w:pBdr/>
        <w:spacing w:before="140" w:after="240" w:line="288" w:lineRule="auto"/>
        <w:ind w:left="0" w:right="0"/>
        <w:jc w:val="left"/>
      </w:pPr>
      <w:r>
        <w:rPr>
          <w:rFonts w:ascii="Arial" w:hAnsi="Arial" w:eastAsia="Arial" w:cs="Arial"/>
          <w:i/>
          <w:iCs/>
          <w:color w:val="000000"/>
          <w:sz w:val="20"/>
          <w:szCs w:val="20"/>
        </w:rPr>
        <w:t xml:space="preserve">§ 62 (2) Jedes Gerüst ist in gutem, gebrauchsfähigem
Zustand zu erhalten.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BauV § 150 Instandhaltung, Prüfung, Reinigung und
Unterweisung – Instandhaltung</w:t>
      </w:r>
    </w:p>
    <w:p>
      <w:pPr>
        <w:widowControl w:val="on"/>
        <w:pBdr/>
        <w:spacing w:before="140" w:after="240" w:line="288" w:lineRule="auto"/>
        <w:ind w:left="0" w:right="0"/>
        <w:jc w:val="left"/>
      </w:pPr>
      <w:r>
        <w:rPr>
          <w:rFonts w:ascii="Arial" w:hAnsi="Arial" w:eastAsia="Arial" w:cs="Arial"/>
          <w:i/>
          <w:iCs/>
          <w:color w:val="000000"/>
          <w:sz w:val="20"/>
          <w:szCs w:val="20"/>
        </w:rPr>
        <w:t xml:space="preserve">§ 150 … Betriebseinrichtungen, sonstige mechanische
Einrichtungen, Betriebsmittel, … sowie sonstige Einrichtungen oder
Gegenstände für den Schutz der Arbeitnehmer sind in gutem und
sicherem Zustand zu erhalten.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ASchG § 17 Instandhaltung, Reinigung, Prüfung</w:t>
      </w:r>
    </w:p>
    <w:p>
      <w:pPr>
        <w:widowControl w:val="on"/>
        <w:pBdr/>
        <w:spacing w:before="140" w:after="240" w:line="288" w:lineRule="auto"/>
        <w:ind w:left="0" w:right="0"/>
        <w:jc w:val="left"/>
      </w:pPr>
      <w:r>
        <w:rPr>
          <w:rFonts w:ascii="Arial" w:hAnsi="Arial" w:eastAsia="Arial" w:cs="Arial"/>
          <w:i/>
          <w:iCs/>
          <w:color w:val="000000"/>
          <w:sz w:val="20"/>
          <w:szCs w:val="20"/>
        </w:rPr>
        <w:t xml:space="preserve">Arbeitgeber haben dafür zu sorgen, dass … die Einrichtungen
zur Brandmeldung oder -bekämpfung, ordnungsgemäß instand gehalten
und gereinigt werden.</w:t>
      </w:r>
    </w:p>
    <w:p>
      <w:r>
        <w:pict>
          <v:rect id="_x0000_i1026" style="width:0;height:1.5pt" o:hralign="center" o:hrstd="t" o:hr="t" o:hrnoshade="t" fillcolor="#a0a0a0" stroked="f"/>
        </w:pic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921522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5291892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79234824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43407085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9154904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282040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2537052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211521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1306385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1532955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6065819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5113486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0517347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0166889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3161655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1429470">
    <w:multiLevelType w:val="hybridMultilevel"/>
    <w:lvl w:ilvl="0" w:tplc="27968193">
      <w:start w:val="1"/>
      <w:numFmt w:val="decimal"/>
      <w:lvlText w:val="%1."/>
      <w:lvlJc w:val="left"/>
      <w:pPr>
        <w:ind w:left="720" w:hanging="360"/>
      </w:pPr>
    </w:lvl>
    <w:lvl w:ilvl="1" w:tplc="27968193" w:tentative="1">
      <w:start w:val="1"/>
      <w:numFmt w:val="lowerLetter"/>
      <w:lvlText w:val="%2."/>
      <w:lvlJc w:val="left"/>
      <w:pPr>
        <w:ind w:left="1440" w:hanging="360"/>
      </w:pPr>
    </w:lvl>
    <w:lvl w:ilvl="2" w:tplc="27968193" w:tentative="1">
      <w:start w:val="1"/>
      <w:numFmt w:val="lowerRoman"/>
      <w:lvlText w:val="%3."/>
      <w:lvlJc w:val="right"/>
      <w:pPr>
        <w:ind w:left="2160" w:hanging="180"/>
      </w:pPr>
    </w:lvl>
    <w:lvl w:ilvl="3" w:tplc="27968193" w:tentative="1">
      <w:start w:val="1"/>
      <w:numFmt w:val="decimal"/>
      <w:lvlText w:val="%4."/>
      <w:lvlJc w:val="left"/>
      <w:pPr>
        <w:ind w:left="2880" w:hanging="360"/>
      </w:pPr>
    </w:lvl>
    <w:lvl w:ilvl="4" w:tplc="27968193" w:tentative="1">
      <w:start w:val="1"/>
      <w:numFmt w:val="lowerLetter"/>
      <w:lvlText w:val="%5."/>
      <w:lvlJc w:val="left"/>
      <w:pPr>
        <w:ind w:left="3600" w:hanging="360"/>
      </w:pPr>
    </w:lvl>
    <w:lvl w:ilvl="5" w:tplc="27968193" w:tentative="1">
      <w:start w:val="1"/>
      <w:numFmt w:val="lowerRoman"/>
      <w:lvlText w:val="%6."/>
      <w:lvlJc w:val="right"/>
      <w:pPr>
        <w:ind w:left="4320" w:hanging="180"/>
      </w:pPr>
    </w:lvl>
    <w:lvl w:ilvl="6" w:tplc="27968193" w:tentative="1">
      <w:start w:val="1"/>
      <w:numFmt w:val="decimal"/>
      <w:lvlText w:val="%7."/>
      <w:lvlJc w:val="left"/>
      <w:pPr>
        <w:ind w:left="5040" w:hanging="360"/>
      </w:pPr>
    </w:lvl>
    <w:lvl w:ilvl="7" w:tplc="27968193" w:tentative="1">
      <w:start w:val="1"/>
      <w:numFmt w:val="lowerLetter"/>
      <w:lvlText w:val="%8."/>
      <w:lvlJc w:val="left"/>
      <w:pPr>
        <w:ind w:left="5760" w:hanging="360"/>
      </w:pPr>
    </w:lvl>
    <w:lvl w:ilvl="8" w:tplc="27968193" w:tentative="1">
      <w:start w:val="1"/>
      <w:numFmt w:val="lowerRoman"/>
      <w:lvlText w:val="%9."/>
      <w:lvlJc w:val="right"/>
      <w:pPr>
        <w:ind w:left="6480" w:hanging="180"/>
      </w:pPr>
    </w:lvl>
  </w:abstractNum>
  <w:abstractNum w:abstractNumId="81429469">
    <w:multiLevelType w:val="hybridMultilevel"/>
    <w:lvl w:ilvl="0" w:tplc="85593391">
      <w:start w:val="1"/>
      <w:numFmt w:val="decimal"/>
      <w:lvlText w:val="%1."/>
      <w:lvlJc w:val="left"/>
      <w:pPr>
        <w:ind w:left="720" w:hanging="360"/>
      </w:pPr>
    </w:lvl>
    <w:lvl w:ilvl="1" w:tplc="85593391" w:tentative="1">
      <w:start w:val="1"/>
      <w:numFmt w:val="lowerLetter"/>
      <w:lvlText w:val="%2."/>
      <w:lvlJc w:val="left"/>
      <w:pPr>
        <w:ind w:left="1440" w:hanging="360"/>
      </w:pPr>
    </w:lvl>
    <w:lvl w:ilvl="2" w:tplc="85593391" w:tentative="1">
      <w:start w:val="1"/>
      <w:numFmt w:val="lowerRoman"/>
      <w:lvlText w:val="%3."/>
      <w:lvlJc w:val="right"/>
      <w:pPr>
        <w:ind w:left="2160" w:hanging="180"/>
      </w:pPr>
    </w:lvl>
    <w:lvl w:ilvl="3" w:tplc="85593391" w:tentative="1">
      <w:start w:val="1"/>
      <w:numFmt w:val="decimal"/>
      <w:lvlText w:val="%4."/>
      <w:lvlJc w:val="left"/>
      <w:pPr>
        <w:ind w:left="2880" w:hanging="360"/>
      </w:pPr>
    </w:lvl>
    <w:lvl w:ilvl="4" w:tplc="85593391" w:tentative="1">
      <w:start w:val="1"/>
      <w:numFmt w:val="lowerLetter"/>
      <w:lvlText w:val="%5."/>
      <w:lvlJc w:val="left"/>
      <w:pPr>
        <w:ind w:left="3600" w:hanging="360"/>
      </w:pPr>
    </w:lvl>
    <w:lvl w:ilvl="5" w:tplc="85593391" w:tentative="1">
      <w:start w:val="1"/>
      <w:numFmt w:val="lowerRoman"/>
      <w:lvlText w:val="%6."/>
      <w:lvlJc w:val="right"/>
      <w:pPr>
        <w:ind w:left="4320" w:hanging="180"/>
      </w:pPr>
    </w:lvl>
    <w:lvl w:ilvl="6" w:tplc="85593391" w:tentative="1">
      <w:start w:val="1"/>
      <w:numFmt w:val="decimal"/>
      <w:lvlText w:val="%7."/>
      <w:lvlJc w:val="left"/>
      <w:pPr>
        <w:ind w:left="5040" w:hanging="360"/>
      </w:pPr>
    </w:lvl>
    <w:lvl w:ilvl="7" w:tplc="85593391" w:tentative="1">
      <w:start w:val="1"/>
      <w:numFmt w:val="lowerLetter"/>
      <w:lvlText w:val="%8."/>
      <w:lvlJc w:val="left"/>
      <w:pPr>
        <w:ind w:left="5760" w:hanging="360"/>
      </w:pPr>
    </w:lvl>
    <w:lvl w:ilvl="8" w:tplc="85593391" w:tentative="1">
      <w:start w:val="1"/>
      <w:numFmt w:val="lowerRoman"/>
      <w:lvlText w:val="%9."/>
      <w:lvlJc w:val="right"/>
      <w:pPr>
        <w:ind w:left="6480" w:hanging="180"/>
      </w:pPr>
    </w:lvl>
  </w:abstractNum>
  <w:abstractNum w:abstractNumId="81429468">
    <w:multiLevelType w:val="hybridMultilevel"/>
    <w:lvl w:ilvl="0" w:tplc="65548374">
      <w:start w:val="1"/>
      <w:numFmt w:val="decimal"/>
      <w:lvlText w:val="%1."/>
      <w:lvlJc w:val="left"/>
      <w:pPr>
        <w:ind w:left="720" w:hanging="360"/>
      </w:pPr>
    </w:lvl>
    <w:lvl w:ilvl="1" w:tplc="65548374" w:tentative="1">
      <w:start w:val="1"/>
      <w:numFmt w:val="lowerLetter"/>
      <w:lvlText w:val="%2."/>
      <w:lvlJc w:val="left"/>
      <w:pPr>
        <w:ind w:left="1440" w:hanging="360"/>
      </w:pPr>
    </w:lvl>
    <w:lvl w:ilvl="2" w:tplc="65548374" w:tentative="1">
      <w:start w:val="1"/>
      <w:numFmt w:val="lowerRoman"/>
      <w:lvlText w:val="%3."/>
      <w:lvlJc w:val="right"/>
      <w:pPr>
        <w:ind w:left="2160" w:hanging="180"/>
      </w:pPr>
    </w:lvl>
    <w:lvl w:ilvl="3" w:tplc="65548374" w:tentative="1">
      <w:start w:val="1"/>
      <w:numFmt w:val="decimal"/>
      <w:lvlText w:val="%4."/>
      <w:lvlJc w:val="left"/>
      <w:pPr>
        <w:ind w:left="2880" w:hanging="360"/>
      </w:pPr>
    </w:lvl>
    <w:lvl w:ilvl="4" w:tplc="65548374" w:tentative="1">
      <w:start w:val="1"/>
      <w:numFmt w:val="lowerLetter"/>
      <w:lvlText w:val="%5."/>
      <w:lvlJc w:val="left"/>
      <w:pPr>
        <w:ind w:left="3600" w:hanging="360"/>
      </w:pPr>
    </w:lvl>
    <w:lvl w:ilvl="5" w:tplc="65548374" w:tentative="1">
      <w:start w:val="1"/>
      <w:numFmt w:val="lowerRoman"/>
      <w:lvlText w:val="%6."/>
      <w:lvlJc w:val="right"/>
      <w:pPr>
        <w:ind w:left="4320" w:hanging="180"/>
      </w:pPr>
    </w:lvl>
    <w:lvl w:ilvl="6" w:tplc="65548374" w:tentative="1">
      <w:start w:val="1"/>
      <w:numFmt w:val="decimal"/>
      <w:lvlText w:val="%7."/>
      <w:lvlJc w:val="left"/>
      <w:pPr>
        <w:ind w:left="5040" w:hanging="360"/>
      </w:pPr>
    </w:lvl>
    <w:lvl w:ilvl="7" w:tplc="65548374" w:tentative="1">
      <w:start w:val="1"/>
      <w:numFmt w:val="lowerLetter"/>
      <w:lvlText w:val="%8."/>
      <w:lvlJc w:val="left"/>
      <w:pPr>
        <w:ind w:left="5760" w:hanging="360"/>
      </w:pPr>
    </w:lvl>
    <w:lvl w:ilvl="8" w:tplc="65548374" w:tentative="1">
      <w:start w:val="1"/>
      <w:numFmt w:val="lowerRoman"/>
      <w:lvlText w:val="%9."/>
      <w:lvlJc w:val="right"/>
      <w:pPr>
        <w:ind w:left="6480" w:hanging="180"/>
      </w:pPr>
    </w:lvl>
  </w:abstractNum>
  <w:abstractNum w:abstractNumId="253811873">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6598763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1429467">
    <w:multiLevelType w:val="hybridMultilevel"/>
    <w:lvl w:ilvl="0" w:tplc="42474518">
      <w:start w:val="1"/>
      <w:numFmt w:val="decimal"/>
      <w:lvlText w:val="%1."/>
      <w:lvlJc w:val="left"/>
      <w:pPr>
        <w:ind w:left="720" w:hanging="360"/>
      </w:pPr>
    </w:lvl>
    <w:lvl w:ilvl="1" w:tplc="42474518" w:tentative="1">
      <w:start w:val="1"/>
      <w:numFmt w:val="lowerLetter"/>
      <w:lvlText w:val="%2."/>
      <w:lvlJc w:val="left"/>
      <w:pPr>
        <w:ind w:left="1440" w:hanging="360"/>
      </w:pPr>
    </w:lvl>
    <w:lvl w:ilvl="2" w:tplc="42474518" w:tentative="1">
      <w:start w:val="1"/>
      <w:numFmt w:val="lowerRoman"/>
      <w:lvlText w:val="%3."/>
      <w:lvlJc w:val="right"/>
      <w:pPr>
        <w:ind w:left="2160" w:hanging="180"/>
      </w:pPr>
    </w:lvl>
    <w:lvl w:ilvl="3" w:tplc="42474518" w:tentative="1">
      <w:start w:val="1"/>
      <w:numFmt w:val="decimal"/>
      <w:lvlText w:val="%4."/>
      <w:lvlJc w:val="left"/>
      <w:pPr>
        <w:ind w:left="2880" w:hanging="360"/>
      </w:pPr>
    </w:lvl>
    <w:lvl w:ilvl="4" w:tplc="42474518" w:tentative="1">
      <w:start w:val="1"/>
      <w:numFmt w:val="lowerLetter"/>
      <w:lvlText w:val="%5."/>
      <w:lvlJc w:val="left"/>
      <w:pPr>
        <w:ind w:left="3600" w:hanging="360"/>
      </w:pPr>
    </w:lvl>
    <w:lvl w:ilvl="5" w:tplc="42474518" w:tentative="1">
      <w:start w:val="1"/>
      <w:numFmt w:val="lowerRoman"/>
      <w:lvlText w:val="%6."/>
      <w:lvlJc w:val="right"/>
      <w:pPr>
        <w:ind w:left="4320" w:hanging="180"/>
      </w:pPr>
    </w:lvl>
    <w:lvl w:ilvl="6" w:tplc="42474518" w:tentative="1">
      <w:start w:val="1"/>
      <w:numFmt w:val="decimal"/>
      <w:lvlText w:val="%7."/>
      <w:lvlJc w:val="left"/>
      <w:pPr>
        <w:ind w:left="5040" w:hanging="360"/>
      </w:pPr>
    </w:lvl>
    <w:lvl w:ilvl="7" w:tplc="42474518" w:tentative="1">
      <w:start w:val="1"/>
      <w:numFmt w:val="lowerLetter"/>
      <w:lvlText w:val="%8."/>
      <w:lvlJc w:val="left"/>
      <w:pPr>
        <w:ind w:left="5760" w:hanging="360"/>
      </w:pPr>
    </w:lvl>
    <w:lvl w:ilvl="8" w:tplc="42474518" w:tentative="1">
      <w:start w:val="1"/>
      <w:numFmt w:val="lowerRoman"/>
      <w:lvlText w:val="%9."/>
      <w:lvlJc w:val="right"/>
      <w:pPr>
        <w:ind w:left="6480" w:hanging="180"/>
      </w:pPr>
    </w:lvl>
  </w:abstractNum>
  <w:abstractNum w:abstractNumId="81429466">
    <w:multiLevelType w:val="hybridMultilevel"/>
    <w:lvl w:ilvl="0" w:tplc="391811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29466">
    <w:abstractNumId w:val="81429466"/>
  </w:num>
  <w:num w:numId="81429467">
    <w:abstractNumId w:val="81429467"/>
  </w:num>
  <w:num w:numId="165987639">
    <w:abstractNumId w:val="165987639"/>
  </w:num>
  <w:num w:numId="253811873">
    <w:abstractNumId w:val="253811873"/>
  </w:num>
  <w:num w:numId="81429468">
    <w:abstractNumId w:val="81429468"/>
  </w:num>
  <w:num w:numId="81429469">
    <w:abstractNumId w:val="81429469"/>
  </w:num>
  <w:num w:numId="81429470">
    <w:abstractNumId w:val="81429470"/>
  </w:num>
  <w:num w:numId="231616555">
    <w:abstractNumId w:val="231616555"/>
  </w:num>
  <w:num w:numId="601668891">
    <w:abstractNumId w:val="601668891"/>
  </w:num>
  <w:num w:numId="505173474">
    <w:abstractNumId w:val="505173474"/>
  </w:num>
  <w:num w:numId="551134861">
    <w:abstractNumId w:val="551134861"/>
  </w:num>
  <w:num w:numId="160658195">
    <w:abstractNumId w:val="160658195"/>
  </w:num>
  <w:num w:numId="515329556">
    <w:abstractNumId w:val="515329556"/>
  </w:num>
  <w:num w:numId="613063851">
    <w:abstractNumId w:val="613063851"/>
  </w:num>
  <w:num w:numId="302115212">
    <w:abstractNumId w:val="302115212"/>
  </w:num>
  <w:num w:numId="925370520">
    <w:abstractNumId w:val="925370520"/>
  </w:num>
  <w:num w:numId="302820403">
    <w:abstractNumId w:val="302820403"/>
  </w:num>
  <w:num w:numId="891549048">
    <w:abstractNumId w:val="891549048"/>
  </w:num>
  <w:num w:numId="434070852">
    <w:abstractNumId w:val="434070852"/>
  </w:num>
  <w:num w:numId="792348245">
    <w:abstractNumId w:val="792348245"/>
  </w:num>
  <w:num w:numId="752918929">
    <w:abstractNumId w:val="752918929"/>
  </w:num>
  <w:num w:numId="599215220">
    <w:abstractNumId w:val="5992152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68502991" Type="http://schemas.openxmlformats.org/officeDocument/2006/relationships/numbering" Target="numbering.xml"/><Relationship Id="rId14580330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