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5253899" w:name="document"/>
    <w:bookmarkEnd w:id="5253899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812088 | Gernot Wurm | Muster |
Prüfpflichten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Hebeeinrichtungen für Personen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Aufzug (Hebezug) zur Personenbeförderung mit einer
Fahrgeschwindigkeit von lediglich bis zu 0,15 m/s.</w:t>
      </w:r>
    </w:p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betriebliche Prüfpflichten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vor dem Einbau in Gebäude oder Bauwerke
oder vor der Vornahme wesentlicher Änderungen im Rahmen eines
Umbaus oder einer Modernisierung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1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063090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Austausch der für den Einbau/die Änderung wesentlichen Angaben
zwischen Verantwortlichem für den Bau und Montagebetrieb</w:t>
            </w:r>
          </w:p>
          <w:p>
            <w:pPr>
              <w:numPr>
                <w:ilvl w:val="0"/>
                <w:numId w:val="7063090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Maßnahmen für den einwandfreien Betrieb und die gefahrlose
Nutzung der einzubauenden Hebeeinrichtung</w:t>
            </w:r>
          </w:p>
          <w:p>
            <w:pPr>
              <w:numPr>
                <w:ilvl w:val="0"/>
                <w:numId w:val="7063090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Ordnungsgemäße Leitungsverlegung</w:t>
            </w:r>
          </w:p>
          <w:p>
            <w:pPr>
              <w:numPr>
                <w:ilvl w:val="0"/>
                <w:numId w:val="7063090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Erfüllung der Inverkehrsetzungs- und
Inbetriebnahmebestimmungen</w:t>
            </w:r>
          </w:p>
          <w:p>
            <w:pPr>
              <w:numPr>
                <w:ilvl w:val="0"/>
                <w:numId w:val="70630903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Vorliegen von Gutachten und behördlicher Genehmigung bei
verringerten Schutzräumen jenseits der Endstellungen des
Fahrkorbs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2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9556788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95567888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1 iVm § 15 Abs 1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vor Inbetriebnahme der Hebeeinrichtung
nach dem Einbau, nach einem Umbau oder einer Modernisierung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1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Unterlagen des Inverkehrbringens und der Inbetriebnahme auf
Stand der Technik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Schutzfunktionen bei bestimmungsgemäßer Benutzung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Brandschutz-, Schallschutz-Anforderungen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Zugänglichkeit für Personen, ggf Behinderte od Personen mit
eingeschränkter Mobilität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Barrierefreiheit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Vorkehrungen für Notbefreiung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Festigkeit des Bauwerks/Gebäudes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Energieeffizienz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Freiheit des Schachts von Fremdleitungen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CE-Kennzeichnung, Konformitätsbescheinigung (bei Umbau)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Betriebsanleitung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Anweisung über Befreiung von Personen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Gutachten, behördliche Entscheidungen bei verringerten
Schutzräumen jenseits der Endstellungen des Fahrkorbs</w:t>
            </w:r>
          </w:p>
          <w:p>
            <w:pPr>
              <w:numPr>
                <w:ilvl w:val="0"/>
                <w:numId w:val="85237200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Eignung des Fernüberwachungssystems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2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8156009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281560099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(Anm: grundsätzlich jenes Prüforgan, das die Vorprüfung
vorgenommen hat)</w:t>
            </w:r>
          </w:p>
          <w:p>
            <w:pPr>
              <w:numPr>
                <w:ilvl w:val="0"/>
                <w:numId w:val="99079358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Prüfstelle für das Fachgebiet „Aufzüge und
Sicherheitsbauteile für Aufzüge“ gem AkkreditierungsG,
BGBl I 28/2012 idF BGBl I 40/2014 für
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1 iVm § 15 Abs 1 und § 14
Abs 2 HBV 2009, BGBl II 210/2009 idF BGBl II
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Wiederkehrende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63997384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Mindestens einmal jährlich, jedoch längstens innerhalb von 15
Monaten</w:t>
            </w:r>
          </w:p>
          <w:p>
            <w:pPr>
              <w:numPr>
                <w:ilvl w:val="0"/>
                <w:numId w:val="63997384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Alle 5 Jahre für 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4 Abs 3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Prüfumfang: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56441797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Betriebssicherheit</w:t>
            </w:r>
          </w:p>
          <w:p>
            <w:pPr>
              <w:numPr>
                <w:ilvl w:val="0"/>
                <w:numId w:val="56441797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Eignung des Fernüberwachungssystems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4 Abs 2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1001734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1001734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  <w:p>
            <w:pPr>
              <w:numPr>
                <w:ilvl w:val="0"/>
                <w:numId w:val="100173472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Prüfstelle für das Fachgebiet „Aufzüge und
Sicherheitsbauteile für Aufzüge“ gem AkkreditierungsG,
BGBl I 28/2012 idF BGBl I 40/2014 für
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4 Abs 1 iVm § 15 Abs 1 und § 14
Abs 2 HBV 2009, BGBl II 210/2009 idF BGBl II
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Außerordentliche Prüfungen: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  <w:p>
            <w:pPr>
              <w:numPr>
                <w:ilvl w:val="0"/>
                <w:numId w:val="6870291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 Anordnung der Behörde aus Gründen der Sicherheit von
Personen</w:t>
            </w:r>
          </w:p>
          <w:p>
            <w:pPr>
              <w:numPr>
                <w:ilvl w:val="0"/>
                <w:numId w:val="68702910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Fernüberwachungssystem nach Änderungen der technischen
Einrichtungen des Systems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5 Abs 1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70660059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AufzugsprüferIn</w:t>
            </w:r>
          </w:p>
          <w:p>
            <w:pPr>
              <w:numPr>
                <w:ilvl w:val="0"/>
                <w:numId w:val="70660059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Inspektionsanstalt für Hebeanlagen</w:t>
            </w:r>
          </w:p>
          <w:p>
            <w:pPr>
              <w:numPr>
                <w:ilvl w:val="0"/>
                <w:numId w:val="706600596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Akkreditierte Prüfstelle für das Fachgebiet „Aufzüge und
Sicherheitsbauteile für Aufzüge“ gem AkkreditierungsG,
BGBl I 28/2012 idF BGBl I 40/2014 für
Fernüberwachungssystem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5 Abs 3 iVm § 15 Abs 1 und § 14
Abs 2 HBV 2009, BGBl II 210/2009 idF BGBl II
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Wartung, Instandhaltung: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12 Abs 1 HBV 2009, BGBl II 210/2009 idF
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Wartungsorgan: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Sinngemäß:</w:t>
            </w:r>
          </w:p>
          <w:p>
            <w:pPr>
              <w:numPr>
                <w:ilvl w:val="0"/>
                <w:numId w:val="154642254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Geeignete fachkundige Personen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–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Prüfungen (Kontrollen):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Betriebskontrollen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Zeitintervall: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 jedem Betriebstag, sowie zusätzlich je nach Bau-, Einbau- und
Ausstattungsart der Hebeeinrichtung mindestens in wöchentlichen
oder vierteljährlichen Abständen: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Bauartvoraussetzungen für wöchentliche Betriebskontrollen:</w:t>
            </w:r>
          </w:p>
          <w:p>
            <w:pPr>
              <w:numPr>
                <w:ilvl w:val="0"/>
                <w:numId w:val="6342670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Ausstattung des Lastträgers mit Tür, Lichtschranke, Lichtgitter
od beweglicher Schwelle an jeder Lastträgeröffnung</w:t>
            </w:r>
          </w:p>
          <w:p>
            <w:pPr>
              <w:numPr>
                <w:ilvl w:val="0"/>
                <w:numId w:val="6342670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Fehlschließsicherungen an allen Schachttürverriegelungen</w:t>
            </w:r>
          </w:p>
          <w:p>
            <w:pPr>
              <w:numPr>
                <w:ilvl w:val="0"/>
                <w:numId w:val="6342670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Durchgehende Umwehrung längs der Bahn jeder Lastträgeröffnung
od Lastträger mit Türen mit Lastträgertürverriegelungen
(Fahrkorbtürverriegelungen) mit Fehlschließsicherung</w:t>
            </w:r>
          </w:p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Bauartvoraussetzungen für vierteljährliche
Betriebskontrollen:</w:t>
            </w:r>
          </w:p>
          <w:p>
            <w:pPr>
              <w:numPr>
                <w:ilvl w:val="0"/>
                <w:numId w:val="2775319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Türen (Fahrkorbtüre, Lastträgertüre) an allen
Lastträgeröffnungen</w:t>
            </w:r>
          </w:p>
          <w:p>
            <w:pPr>
              <w:numPr>
                <w:ilvl w:val="0"/>
                <w:numId w:val="2775319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Fehlschließsicherungen an allen Schachttürverriegelungen</w:t>
            </w:r>
          </w:p>
          <w:p>
            <w:pPr>
              <w:numPr>
                <w:ilvl w:val="0"/>
                <w:numId w:val="2775319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Massive Schächte</w:t>
            </w:r>
          </w:p>
          <w:p>
            <w:pPr>
              <w:numPr>
                <w:ilvl w:val="0"/>
                <w:numId w:val="2775319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Lastträgerwände und Lastträgerdecken, Lastträgertüren und
Schachttüren aus unzerbrechlichen Materialien bzw Glaselemente
entsprechend einschlägiger Normen</w:t>
            </w:r>
          </w:p>
          <w:p>
            <w:pPr>
              <w:numPr>
                <w:ilvl w:val="0"/>
                <w:numId w:val="277531941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Erfüllung der Anforderungen an Fernüberwachungssysteme und der
organisatorischen Voraussetzungen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7 Abs 1 iVm Abs 2 oder 3 HBV 2009, BGBl II
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Kontrollumfang: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Anfahren des Lastträgers solange eine Schachttüre oder
Türe auf dem Lastträger (Fahrkorbtüre) geöffnet ist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 Öffnen einer Schachttür solange sich Lastträger außerhalb
der Entriegelungungszone dieser Türe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Haltegenauigkeit an den Haltestellen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der Notrufeinrichtung/Sprechverbindung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Wirksamkeit des Notbremsschalters bzw der Befehlsgeber zum
Wiederöffnen der Türen bzw der Schutzeinrichtung zum Umsteuern der
Türschließbewegung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der Beleuchtung bei Schachtzugängen und im
Lastträger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Beschädigungen der Schachtumwehrung und Schachttüren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Beschädigungen des Fußbodens vor den Schachtzugängen und
des Lastträgers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Keine Beschädigungen der Schachtwand entlang der Bahn bei
türlosen Lastträgeröffnungen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Funktion von beweglichen Schwellen, Lichtschranken oder
Lichtgittern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Lesbarkeit und Aktualität der Benutzerhinweise</w:t>
            </w:r>
          </w:p>
          <w:p>
            <w:pPr>
              <w:numPr>
                <w:ilvl w:val="0"/>
                <w:numId w:val="22887572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Ggf zusätzliche Kontrollen lt Betriebsanleitung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6 Abs 1 u 6 iVm Abs 7 HBV 2009, BGBl II
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Zulässiges Prüforgan: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813519543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Betreiber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6 Abs 1 iVm § 12 Abs 1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Sonstige Pflichten: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numPr>
                <w:ilvl w:val="0"/>
                <w:numId w:val="4068925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Sofortige Außerbetriebnahme der Hebeeinrichtung bei Mängeln
oder Gebrechen, die Personen gefährden</w:t>
            </w:r>
          </w:p>
          <w:p>
            <w:pPr>
              <w:numPr>
                <w:ilvl w:val="0"/>
                <w:numId w:val="4068925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Meldung von Unfälle und außergewöhnlichen Vorfällen an Behörde
und Inspektionsstelle</w:t>
            </w:r>
          </w:p>
          <w:p>
            <w:pPr>
              <w:numPr>
                <w:ilvl w:val="0"/>
                <w:numId w:val="406892515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Betrieb und Instandhaltung nach Betriebs- und
Wartungsanleitung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8 Abs 2 u 3 und § 12 Abs 1 HBV 2009,
BGBl II 210/2009 idF BGBl II 350/2016</w:t>
            </w:r>
          </w:p>
        </w:tc>
      </w:tr>
    </w:tbl>
    <w:p/>
    <w:tbl>
      <w:tblPr>
        <w:tblStyle w:val="NormalTablePHPDOCX"/>
        <w:tblW w:w="5000" w:type="pct"/>
        <w:tblInd w:w="0" w:type="auto"/>
        <w:tblBorders>
          <w:top w:val="single" w:color="000000" w:sz="2"/>
          <w:left w:val="single" w:color="000000" w:sz="2"/>
          <w:bottom w:val="single" w:color="000000" w:sz="2"/>
          <w:right w:val="single" w:color="000000" w:sz="2"/>
        </w:tblBorders>
      </w:tblPr>
      <w:tblGrid>
        <w:gridCol w:w="2000"/>
        <w:gridCol w:w="2000"/>
      </w:tblGrid>
      <w:tr>
        <w:trPr>
          <w:trHeight w:val="0" w:hRule="atLeast"/>
        </w:trPr>
        <w:tc>
          <w:tcPr>
            <w:tcW w:w="2000" w:type="pct"/>
            <w:gridSpan w:val="2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D9D9D9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D9D9D9"/>
              <w:spacing w:before="0" w:after="0" w:line="277" w:lineRule="auto"/>
              <w:ind w:left="0" w:right="0"/>
              <w:jc w:val="center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D9D9D9"/>
              </w:rPr>
              <w:t xml:space="preserve">Notwendige Dokumentationen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Aufzeichnungen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betreffend Prüfungen
(Prüfbefunde):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für:</w:t>
            </w:r>
          </w:p>
          <w:p>
            <w:pPr>
              <w:numPr>
                <w:ilvl w:val="0"/>
                <w:numId w:val="8679088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Vorprüfung (Gutachten der Inspektionsstelle mit Prüfvermerk auf
den Unterlagen)</w:t>
            </w:r>
          </w:p>
          <w:p>
            <w:pPr>
              <w:numPr>
                <w:ilvl w:val="0"/>
                <w:numId w:val="8679088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Abnahmeprüfung (Gutachten der Inspektionsstelle, Vermerk im
Aufzugsbuch)</w:t>
            </w:r>
          </w:p>
          <w:p>
            <w:pPr>
              <w:numPr>
                <w:ilvl w:val="0"/>
                <w:numId w:val="8679088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Regelmäßige Überprüfungen (Inspektionsbericht/Befund der
Inspektionsstelle, Vermerk im Aufzugsbuch)</w:t>
            </w:r>
          </w:p>
          <w:p>
            <w:pPr>
              <w:numPr>
                <w:ilvl w:val="0"/>
                <w:numId w:val="8679088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Außerordentliche Überprüfung (Inspektionsbericht/Befund der
Inspektionsstelle, Vermerk im Aufzugsbuch)</w:t>
            </w:r>
          </w:p>
          <w:p>
            <w:pPr>
              <w:numPr>
                <w:ilvl w:val="0"/>
                <w:numId w:val="8679088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Bescheinigungen der akkreditierten Prüfstelle über Eignung des
Fernüberwachungssystems</w:t>
            </w:r>
          </w:p>
          <w:p>
            <w:pPr>
              <w:numPr>
                <w:ilvl w:val="0"/>
                <w:numId w:val="867908800"/>
              </w:numPr>
              <w:shd w:val="clear" w:color="auto" w:fill="FFFFFF"/>
              <w:spacing w:before="0" w:after="0" w:line="288" w:lineRule="auto"/>
              <w:jc w:val="left"/>
              <w:rPr>
                <w:rFonts w:ascii="Arial" w:hAnsi="Arial" w:eastAsia="Arial" w:cs="Arial"/>
                <w:color w:val="000000"/>
                <w:sz w:val="20"/>
                <w:szCs w:val="20"/>
                <w:highlight w:val="white"/>
              </w:rPr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Empfohlen für Betriebskontrollen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2 Abs 3, § 3 Abs 3, § 4 Abs 4, u
§ 5 Abs 3, und § 14 Abs 2 HBV 2009,
BGBl II 210/2009 idF BGBl II 350/2016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Aufzugsbuch: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ja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– ab der Abnahmeprüfung für jede
Hebeeinrichtung</w:t>
            </w:r>
          </w:p>
        </w:tc>
      </w:tr>
      <w:tr>
        <w:trPr>
          <w:trHeight w:val="0" w:hRule="atLeast"/>
        </w:trPr>
        <w:tc>
          <w:tcPr>
            <w:tcW w:w="2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Gesetzliche Bestimmung:</w:t>
            </w:r>
          </w:p>
        </w:tc>
        <w:tc>
          <w:tcPr>
            <w:tcW w:w="3000" w:type="pct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§ 3 Abs 4 HBV 2009, BGBl II 210/2009 idF
BGBl II 350/2016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Die Erläuterungen zur Hebeanlagen-Betriebsverordnung finden Sie
im Register 2.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6790880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689251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13519543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887572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7753194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3426704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464225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0660059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87029101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0173472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64417970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3997384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079358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156009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52372004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55678885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06309036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8983179">
    <w:multiLevelType w:val="hybridMultilevel"/>
    <w:lvl w:ilvl="0">
      <w:start w:val=""/>
      <w:numFmt w:val="bullet"/>
      <w:lvlText w:val="●"/>
      <w:lvlJc w:val="left"/>
      <w:pPr>
        <w:ind w:left="720" w:hanging="360"/>
      </w:pPr>
      <w:rPr/>
    </w:lvl>
    <w:lvl w:ilvl="1">
      <w:start w:val="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7050070">
    <w:multiLevelType w:val="hybridMultilevel"/>
    <w:lvl w:ilvl="0" w:tplc="35091990">
      <w:start w:val="1"/>
      <w:numFmt w:val="decimal"/>
      <w:lvlText w:val="%1."/>
      <w:lvlJc w:val="left"/>
      <w:pPr>
        <w:ind w:left="720" w:hanging="360"/>
      </w:pPr>
    </w:lvl>
    <w:lvl w:ilvl="1" w:tplc="35091990" w:tentative="1">
      <w:start w:val="1"/>
      <w:numFmt w:val="lowerLetter"/>
      <w:lvlText w:val="%2."/>
      <w:lvlJc w:val="left"/>
      <w:pPr>
        <w:ind w:left="1440" w:hanging="360"/>
      </w:pPr>
    </w:lvl>
    <w:lvl w:ilvl="2" w:tplc="35091990" w:tentative="1">
      <w:start w:val="1"/>
      <w:numFmt w:val="lowerRoman"/>
      <w:lvlText w:val="%3."/>
      <w:lvlJc w:val="right"/>
      <w:pPr>
        <w:ind w:left="2160" w:hanging="180"/>
      </w:pPr>
    </w:lvl>
    <w:lvl w:ilvl="3" w:tplc="35091990" w:tentative="1">
      <w:start w:val="1"/>
      <w:numFmt w:val="decimal"/>
      <w:lvlText w:val="%4."/>
      <w:lvlJc w:val="left"/>
      <w:pPr>
        <w:ind w:left="2880" w:hanging="360"/>
      </w:pPr>
    </w:lvl>
    <w:lvl w:ilvl="4" w:tplc="35091990" w:tentative="1">
      <w:start w:val="1"/>
      <w:numFmt w:val="lowerLetter"/>
      <w:lvlText w:val="%5."/>
      <w:lvlJc w:val="left"/>
      <w:pPr>
        <w:ind w:left="3600" w:hanging="360"/>
      </w:pPr>
    </w:lvl>
    <w:lvl w:ilvl="5" w:tplc="35091990" w:tentative="1">
      <w:start w:val="1"/>
      <w:numFmt w:val="lowerRoman"/>
      <w:lvlText w:val="%6."/>
      <w:lvlJc w:val="right"/>
      <w:pPr>
        <w:ind w:left="4320" w:hanging="180"/>
      </w:pPr>
    </w:lvl>
    <w:lvl w:ilvl="6" w:tplc="35091990" w:tentative="1">
      <w:start w:val="1"/>
      <w:numFmt w:val="decimal"/>
      <w:lvlText w:val="%7."/>
      <w:lvlJc w:val="left"/>
      <w:pPr>
        <w:ind w:left="5040" w:hanging="360"/>
      </w:pPr>
    </w:lvl>
    <w:lvl w:ilvl="7" w:tplc="35091990" w:tentative="1">
      <w:start w:val="1"/>
      <w:numFmt w:val="lowerLetter"/>
      <w:lvlText w:val="%8."/>
      <w:lvlJc w:val="left"/>
      <w:pPr>
        <w:ind w:left="5760" w:hanging="360"/>
      </w:pPr>
    </w:lvl>
    <w:lvl w:ilvl="8" w:tplc="350919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050069">
    <w:multiLevelType w:val="hybridMultilevel"/>
    <w:lvl w:ilvl="0" w:tplc="79670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050069">
    <w:abstractNumId w:val="97050069"/>
  </w:num>
  <w:num w:numId="97050070">
    <w:abstractNumId w:val="97050070"/>
  </w:num>
  <w:num w:numId="328983179">
    <w:abstractNumId w:val="328983179"/>
  </w:num>
  <w:num w:numId="706309036">
    <w:abstractNumId w:val="706309036"/>
  </w:num>
  <w:num w:numId="955678885">
    <w:abstractNumId w:val="955678885"/>
  </w:num>
  <w:num w:numId="852372004">
    <w:abstractNumId w:val="852372004"/>
  </w:num>
  <w:num w:numId="281560099">
    <w:abstractNumId w:val="281560099"/>
  </w:num>
  <w:num w:numId="990793584">
    <w:abstractNumId w:val="990793584"/>
  </w:num>
  <w:num w:numId="639973846">
    <w:abstractNumId w:val="639973846"/>
  </w:num>
  <w:num w:numId="564417970">
    <w:abstractNumId w:val="564417970"/>
  </w:num>
  <w:num w:numId="100173472">
    <w:abstractNumId w:val="100173472"/>
  </w:num>
  <w:num w:numId="687029101">
    <w:abstractNumId w:val="687029101"/>
  </w:num>
  <w:num w:numId="706600596">
    <w:abstractNumId w:val="706600596"/>
  </w:num>
  <w:num w:numId="154642254">
    <w:abstractNumId w:val="154642254"/>
  </w:num>
  <w:num w:numId="634267041">
    <w:abstractNumId w:val="634267041"/>
  </w:num>
  <w:num w:numId="277531941">
    <w:abstractNumId w:val="277531941"/>
  </w:num>
  <w:num w:numId="228875720">
    <w:abstractNumId w:val="228875720"/>
  </w:num>
  <w:num w:numId="813519543">
    <w:abstractNumId w:val="813519543"/>
  </w:num>
  <w:num w:numId="406892515">
    <w:abstractNumId w:val="406892515"/>
  </w:num>
  <w:num w:numId="867908800">
    <w:abstractNumId w:val="8679088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966894240" Type="http://schemas.openxmlformats.org/officeDocument/2006/relationships/numbering" Target="numbering.xml"/><Relationship Id="rId744214314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