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71475696" w:name="document"/>
    <w:bookmarkEnd w:id="71475696"/>
    <w:p/>
    <w:p>
      <w:pPr>
        <w:widowControl w:val="on"/>
        <w:pBdr/>
        <w:spacing w:before="0" w:after="280" w:line="240" w:lineRule="auto"/>
        <w:ind w:left="0" w:right="0"/>
        <w:jc w:val="left"/>
      </w:pPr>
      <w:r>
        <w:rPr>
          <w:rFonts w:ascii="Arial" w:hAnsi="Arial" w:eastAsia="Arial" w:cs="Arial"/>
          <w:color w:val="363A40"/>
          <w:sz w:val="24"/>
          <w:szCs w:val="24"/>
        </w:rPr>
        <w:t xml:space="preserve">Dokument-ID: 785046 | Gernot Wurm | Muster |
Prüfpflichten</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Absaugeinrichtungen, Lüftungsanlagen zur Abführung
gesundheitsgefährdender Arbeitsstoffe (GKV)</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2000"/>
        <w:gridCol w:w="2000"/>
      </w:tblGrid>
      <w:tr>
        <w:trPr>
          <w:trHeight w:val="0" w:hRule="atLeast"/>
        </w:trPr>
        <w:tc>
          <w:tcPr>
            <w:tcW w:w="2000" w:type="pct"/>
            <w:gridSpan w:val="2"/>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center"/>
              <w:textAlignment w:val="top"/>
            </w:pPr>
            <w:r>
              <w:rPr>
                <w:rFonts w:ascii="Arial" w:hAnsi="Arial" w:eastAsia="Arial" w:cs="Arial"/>
                <w:b/>
                <w:bCs/>
                <w:color w:val="000000"/>
                <w:position w:val="0"/>
                <w:sz w:val="22"/>
                <w:szCs w:val="22"/>
                <w:shd w:val="clear" w:color="auto" w:fill="D9D9D9"/>
              </w:rPr>
              <w:t xml:space="preserve">Notwendige betriebliche Prüfpflichten</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Abnahmeprüfung: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r>
              <w:rPr>
                <w:rFonts w:ascii="Arial" w:hAnsi="Arial" w:eastAsia="Arial" w:cs="Arial"/>
                <w:color w:val="000000"/>
                <w:position w:val="0"/>
                <w:sz w:val="20"/>
                <w:szCs w:val="20"/>
                <w:shd w:val="clear" w:color="auto" w:fill="FFFFFF"/>
              </w:rPr>
              <w:t xml:space="preserve"> – vor der erstmaligen Inbetriebnahme</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32 Abs 1 GKV, BGBl II 253/2001 idF
BGBl II 330/2024</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Prüfumfang: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numPr>
                <w:ilvl w:val="0"/>
                <w:numId w:val="881144506"/>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Repräsentative Messung der Absaug-/Lüftungsleistung</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32 Abs 1 GKV, BGBl II 253/2001 idF
BGBl II 330/2024</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Zulässiges Prüforgan:</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numPr>
                <w:ilvl w:val="0"/>
                <w:numId w:val="744337587"/>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Befugte Gewerbetreibende</w:t>
            </w:r>
          </w:p>
          <w:p>
            <w:pPr>
              <w:numPr>
                <w:ilvl w:val="0"/>
                <w:numId w:val="744337587"/>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Akkreditierte Prüf- und Überwachungsstellen</w:t>
            </w:r>
          </w:p>
          <w:p>
            <w:pPr>
              <w:numPr>
                <w:ilvl w:val="0"/>
                <w:numId w:val="744337587"/>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Ziviltechniker/innen</w:t>
            </w:r>
          </w:p>
          <w:p>
            <w:pPr>
              <w:numPr>
                <w:ilvl w:val="0"/>
                <w:numId w:val="744337587"/>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Technische Büros – Ingenieurbüros</w:t>
            </w:r>
          </w:p>
          <w:p>
            <w:pPr>
              <w:numPr>
                <w:ilvl w:val="0"/>
                <w:numId w:val="744337587"/>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Qualifizierte Betriebsangehörige</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32 Abs 5 GKV, BGBl II 253/2001 idF
BGBl II 330/2024</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Wiederkehrende Prüfungen:</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Zeitintervall:</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Mindestens einmal im Kalenderjahr, jedoch längstens im Abstand
von 15 Monaten</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32 Abs 2 GKV, BGBl II 253/2001 idF
BGBl II 330/2024</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Prüfumfang: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numPr>
                <w:ilvl w:val="0"/>
                <w:numId w:val="682396963"/>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Ordnungsgemäßer Zustand</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32 Abs 2 GKV, BGBl II 253/2001 idF
BGBl II 330/2024</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Zulässiges Prüforgan:</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numPr>
                <w:ilvl w:val="0"/>
                <w:numId w:val="63510018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Befugte Gewerbetreibende</w:t>
            </w:r>
          </w:p>
          <w:p>
            <w:pPr>
              <w:numPr>
                <w:ilvl w:val="0"/>
                <w:numId w:val="63510018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Akkreditierte Prüf- und Überwachungsstellen</w:t>
            </w:r>
          </w:p>
          <w:p>
            <w:pPr>
              <w:numPr>
                <w:ilvl w:val="0"/>
                <w:numId w:val="63510018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Ziviltechniker/innen</w:t>
            </w:r>
          </w:p>
          <w:p>
            <w:pPr>
              <w:numPr>
                <w:ilvl w:val="0"/>
                <w:numId w:val="63510018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Technische Büros – Ingenieurbüros</w:t>
            </w:r>
          </w:p>
          <w:p>
            <w:pPr>
              <w:numPr>
                <w:ilvl w:val="0"/>
                <w:numId w:val="63510018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Qualifizierte Betriebsangehörige</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32 Abs 5 GKV, BGBl II 253/2001 idF
BGBl II 330/2024</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Außerordentliche Prüfungen:</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r>
              <w:rPr>
                <w:rFonts w:ascii="Arial" w:hAnsi="Arial" w:eastAsia="Arial" w:cs="Arial"/>
                <w:color w:val="000000"/>
                <w:position w:val="0"/>
                <w:sz w:val="20"/>
                <w:szCs w:val="20"/>
                <w:shd w:val="clear" w:color="auto" w:fill="FFFFFF"/>
              </w:rPr>
              <w:t xml:space="preserve"> – ergänzende Prüfungen nach Änderungen,
Erweiterungen oder Umgestaltungen, die sich auf die
Absaug-/Lüftungsleistung auswirken</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32 Abs 3 GKV, BGBl II 253/2001 idF
BGBl II 330/2024</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Zulässiges Prüforgan:</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numPr>
                <w:ilvl w:val="0"/>
                <w:numId w:val="77929224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Befugte Gewerbetreibende</w:t>
            </w:r>
          </w:p>
          <w:p>
            <w:pPr>
              <w:numPr>
                <w:ilvl w:val="0"/>
                <w:numId w:val="77929224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Akkreditierte Prüf- und Überwachungsstellen</w:t>
            </w:r>
          </w:p>
          <w:p>
            <w:pPr>
              <w:numPr>
                <w:ilvl w:val="0"/>
                <w:numId w:val="77929224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Ziviltechniker/innen</w:t>
            </w:r>
          </w:p>
          <w:p>
            <w:pPr>
              <w:numPr>
                <w:ilvl w:val="0"/>
                <w:numId w:val="77929224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Technische Büros – Ingenieurbüros</w:t>
            </w:r>
          </w:p>
          <w:p>
            <w:pPr>
              <w:numPr>
                <w:ilvl w:val="0"/>
                <w:numId w:val="77929224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Qualifizierte Betriebsangehörige</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32 Abs 5 GKV, BGBl II 253/2001 idF
BGBl II 330/2024</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Wartung, Instandhaltung: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r>
              <w:rPr>
                <w:rFonts w:ascii="Arial" w:hAnsi="Arial" w:eastAsia="Arial" w:cs="Arial"/>
                <w:color w:val="000000"/>
                <w:position w:val="0"/>
                <w:sz w:val="20"/>
                <w:szCs w:val="20"/>
                <w:shd w:val="clear" w:color="auto" w:fill="FFFFFF"/>
              </w:rPr>
              <w:t xml:space="preserve"> – entsprechend der allgemeinen Verpflichtung
zur Wartung und Instandhaltung</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38 Abs 1 und § 17 Abs 1 ASchG,
BGBl 450/1994 idF BGBl I 56/2024</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Zuständiges Wartungsorgan:</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Sinngemäß:</w:t>
            </w:r>
          </w:p>
          <w:p>
            <w:pPr>
              <w:numPr>
                <w:ilvl w:val="0"/>
                <w:numId w:val="697318506"/>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Geeignete, fachkundige Personen</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bl>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2000"/>
        <w:gridCol w:w="2000"/>
      </w:tblGrid>
      <w:tr>
        <w:trPr>
          <w:trHeight w:val="0" w:hRule="atLeast"/>
        </w:trPr>
        <w:tc>
          <w:tcPr>
            <w:tcW w:w="2000" w:type="pct"/>
            <w:gridSpan w:val="2"/>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center"/>
              <w:textAlignment w:val="top"/>
            </w:pPr>
            <w:r>
              <w:rPr>
                <w:rFonts w:ascii="Arial" w:hAnsi="Arial" w:eastAsia="Arial" w:cs="Arial"/>
                <w:b/>
                <w:bCs/>
                <w:color w:val="000000"/>
                <w:position w:val="0"/>
                <w:sz w:val="22"/>
                <w:szCs w:val="22"/>
                <w:shd w:val="clear" w:color="auto" w:fill="D9D9D9"/>
              </w:rPr>
              <w:t xml:space="preserve">Notwendige Dokumentationen</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Aufzeichnungen</w:t>
            </w:r>
            <w:r>
              <w:rPr>
                <w:rFonts w:ascii="Arial" w:hAnsi="Arial" w:eastAsia="Arial" w:cs="Arial"/>
                <w:color w:val="000000"/>
                <w:position w:val="0"/>
                <w:sz w:val="20"/>
                <w:szCs w:val="20"/>
                <w:shd w:val="clear" w:color="auto" w:fill="FFFFFF"/>
              </w:rPr>
              <w:t xml:space="preserve"> betreffend Prüfungen
(Prüfbefunde):</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r>
              <w:rPr>
                <w:rFonts w:ascii="Arial" w:hAnsi="Arial" w:eastAsia="Arial" w:cs="Arial"/>
                <w:color w:val="000000"/>
                <w:position w:val="0"/>
                <w:sz w:val="20"/>
                <w:szCs w:val="20"/>
                <w:shd w:val="clear" w:color="auto" w:fill="FFFFFF"/>
              </w:rPr>
              <w:t xml:space="preserve"> – für:</w:t>
            </w:r>
          </w:p>
          <w:p>
            <w:pPr>
              <w:numPr>
                <w:ilvl w:val="0"/>
                <w:numId w:val="66333902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Abnahmeprüfung (Messung)</w:t>
            </w:r>
          </w:p>
          <w:p>
            <w:pPr>
              <w:numPr>
                <w:ilvl w:val="0"/>
                <w:numId w:val="66333902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Wiederkehrende Prüfungen</w:t>
            </w:r>
          </w:p>
          <w:p>
            <w:pPr>
              <w:numPr>
                <w:ilvl w:val="0"/>
                <w:numId w:val="66333902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Außerordentliche Prüfungen</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31 Abs 3 u § 32 Abs 4 GKV, BGBl II
253/2001 idF BGBl II 330/2024, iVm § 5 ASchG,
BGBl 450/1994 idF BGBl I 56/2024</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Aufbewahrung im Betrieb/in der Arbeitsstätte:</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Keine Festlegung – sinngemäß:</w:t>
            </w:r>
            <w:r>
              <w:rPr>
                <w:rFonts w:ascii="Arial" w:hAnsi="Arial" w:eastAsia="Arial" w:cs="Arial"/>
                <w:color w:val="000000"/>
                <w:position w:val="0"/>
                <w:sz w:val="20"/>
                <w:szCs w:val="20"/>
                <w:shd w:val="clear" w:color="auto" w:fill="FFFFFF"/>
              </w:rPr>
              <w:br/>
              <w:t xml:space="preserve">Prüfbefunde oder Kopien für:</w:t>
            </w:r>
          </w:p>
          <w:p>
            <w:pPr>
              <w:numPr>
                <w:ilvl w:val="0"/>
                <w:numId w:val="356815792"/>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Abnahmeprüfung</w:t>
            </w:r>
          </w:p>
          <w:p>
            <w:pPr>
              <w:numPr>
                <w:ilvl w:val="0"/>
                <w:numId w:val="356815792"/>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Wiederkehrende Prüfungen</w:t>
            </w:r>
          </w:p>
          <w:p>
            <w:pPr>
              <w:numPr>
                <w:ilvl w:val="0"/>
                <w:numId w:val="356815792"/>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Außerordentliche Prüfungen</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Aufbewahrungsfrist:</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Keine Festlegung – empfohlen:</w:t>
            </w:r>
          </w:p>
          <w:p>
            <w:pPr>
              <w:numPr>
                <w:ilvl w:val="0"/>
                <w:numId w:val="629499140"/>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Bis zum Ausscheiden der Absaugeinrichtung bzw
Lüftungsanlage</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bl>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Erläuterungen zur GrenzwerteV 2024 (GKV)</w:t>
      </w:r>
    </w:p>
    <w:p>
      <w:pPr>
        <w:widowControl w:val="on"/>
        <w:pBdr/>
        <w:spacing w:before="140" w:after="240" w:line="288" w:lineRule="auto"/>
        <w:ind w:left="0" w:right="0"/>
        <w:jc w:val="left"/>
      </w:pPr>
      <w:r>
        <w:rPr>
          <w:rFonts w:ascii="Arial" w:hAnsi="Arial" w:eastAsia="Arial" w:cs="Arial"/>
          <w:color w:val="000000"/>
          <w:sz w:val="20"/>
          <w:szCs w:val="20"/>
        </w:rPr>
        <w:t xml:space="preserve">Die GrenzwerteV (Verordnung des Bundesministers für Arbeit und
Wirtschaft über Grenzwerte für Arbeitsstoffe sowie über gefährliche
Arbeitsstoffe [Grenzwerteverordnung 2024 – GKV]),
BGBl 253/2001 idF BGBl II 330/2024, gilt für
Arbeitsstätten, Baustellen und auswärtige Arbeitsstellen iSd
Begriffsbestimmungen des § 2 Abs 3
ArbeitnehmerInnenschutzgesetz 1994 (ASchG), BGBl 450/1994 idF
BGBl I 56/2024, bei denen gesundheitsgefährdende Arbeitsstoffe
verwendet werden. Mit der Verordnung werden die aus Sicht der
Arbeitsmedizin akzeptierbare Exposition von ArbeitnehmerInnen und
die technischen Vorkehrungen zur Vermeidung darüber hinausgehender
Belastungen festgelegt. (Anm: unter der im Folgenden verwendeten
Abkürzung „GKV“ ist die GKV in der Fassung 2024, die mit 3.
Dezember 2024 in Rechtskraft getreten ist, zu verstehen).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Allgemeines</w:t>
      </w:r>
    </w:p>
    <w:p>
      <w:pPr>
        <w:widowControl w:val="on"/>
        <w:pBdr/>
        <w:spacing w:before="140" w:after="240" w:line="288" w:lineRule="auto"/>
        <w:ind w:left="0" w:right="0"/>
        <w:jc w:val="left"/>
      </w:pPr>
      <w:r>
        <w:rPr>
          <w:rFonts w:ascii="Arial" w:hAnsi="Arial" w:eastAsia="Arial" w:cs="Arial"/>
          <w:color w:val="000000"/>
          <w:sz w:val="20"/>
          <w:szCs w:val="20"/>
        </w:rPr>
        <w:t xml:space="preserve">Arbeitsplätze sind gem § 43 Abs 2 Z 5 und 6 ASchG
mit Einrichtungen zur vollständigen Erfassung gefährlicher
Arbeitsstoffe an der Austritts- oder Entstehungsstelle und der
gefahrlosen Ableitung dieser Stoffe in Form von Lüftungsmaßnahmen
auszustatten, wenn durch andere Maßnahmen das Freiwerden
gefährlicher Gase, Dämpfe oder Schwebstoffe nicht verhindert werden
kann. Dies gilt gem § 27e Abs 4 GKV auch für Lagerräume,
wenn sich Gase oder Dämpfe, die von gefährlichen Arbeitsstoffen,
verdichteten, verflüssigten oder unter Druck gelösten Gasen, die
schwerer als Luft sind, ansammeln können.</w:t>
      </w:r>
    </w:p>
    <w:p>
      <w:pPr>
        <w:widowControl w:val="on"/>
        <w:pBdr/>
        <w:spacing w:before="140" w:after="240" w:line="288" w:lineRule="auto"/>
        <w:ind w:left="0" w:right="0"/>
        <w:jc w:val="left"/>
      </w:pPr>
      <w:r>
        <w:rPr>
          <w:rFonts w:ascii="Arial" w:hAnsi="Arial" w:eastAsia="Arial" w:cs="Arial"/>
          <w:color w:val="000000"/>
          <w:sz w:val="20"/>
          <w:szCs w:val="20"/>
        </w:rPr>
        <w:t xml:space="preserve">Gefährliche Arbeitsstoffe iSd Begriffsbestimmungen des § 40
Abs 1 ASchG sind Stoffe (Reinstoffe oder Gemische), die
zumindest einer der in § 40 Abss 2 bis 8 des 4. Abschnitts des
ASchG angeführten Kategorien an explosionsgefährlichen,
brandgefährlichen und gesundheitsgefährdenden Eigenschaften
zuzuordnen sind, oder es sich um einen biologischen Arbeitsstoff
handelt – ausgenommen es handelt sich dabei um einen Arbeitsstoff,
bei dem nach Vornahme eines Bewertungsverfahrens kein
gesundheitliches Risiko evident ist und er in die Gruppe 1 der
biologischen Arbeitsstoffe einzureihen ist – und für die gem
§ 2 Abs 1 GKV ein MAK-Wert (maximale
Arbeitsplatz-Konzentration) oder gem § 3 Abs 1 ein
TRK-Wert (technische Richtkonzentration) in der Stoffliste des
Anhanges I zur GKV ausgewiesen ist. Hierzu ist anzumerken, dass die
Stoffliste des Anhanges I zur GKV nur für Arbeitsstoffe, die als
krebserzeugend und solche, die als fortpflanzungsgefährdend
eingestuft sind – wie dies nach den Einstufungskriterien der
EU-Verordnung über die Klassifizierung, Einstufung und Verpackung
von Stoffen und Gemischen (EG) 1272/2008 (CLP-Verordnung),
ABl L 353 vom 31.12.2008, S 1 zu erfolgen hat – und für
die ein TRK-Wert festgelegt ist, die Zuordnung nach Gefahrenklasse
und Gefahrenkategorie ausweist. Die Übernahme der durch die
CLP-Verordnung etablierten Gefahrenklassen in das
Arbeitnehmerschutzrecht ist somit im 4. Abschnitt des Gesetzes mit
§ 40 ASchG erfolgt. Demnach gelten gem § 40 Abs 7
auch unter Druck stehende Gase und auf Metalle korrosiv wirkende
Stoffe als gefährliche Arbeitsstoffe iSd Arbeitnehmerschutzes. Die
GKV trifft hinsichtlich krebserzeugender Arbeitsstoffe in § 10
und für fortpflanzungsgefährdende Arbeitsstoffe in § 10a eine
für die Belange des Arbeitnehmerschutzes relevante Klassifizierung
und nähere Unterteilung.</w:t>
      </w:r>
    </w:p>
    <w:p>
      <w:pPr>
        <w:widowControl w:val="on"/>
        <w:pBdr/>
        <w:spacing w:before="0" w:after="105" w:line="288" w:lineRule="auto"/>
        <w:ind w:left="0" w:right="0"/>
        <w:jc w:val="left"/>
      </w:pPr>
      <w:r>
        <w:rPr>
          <w:rFonts w:ascii="Arial" w:hAnsi="Arial" w:eastAsia="Arial" w:cs="Arial"/>
          <w:b/>
          <w:bCs/>
          <w:color w:val="277DB9"/>
          <w:sz w:val="25"/>
          <w:szCs w:val="25"/>
        </w:rPr>
        <w:t xml:space="preserve">Hinweis:</w:t>
      </w:r>
    </w:p>
    <w:p>
      <w:pPr>
        <w:widowControl w:val="on"/>
        <w:pBdr/>
        <w:spacing w:before="140" w:after="240" w:line="288" w:lineRule="auto"/>
        <w:ind w:left="0" w:right="0"/>
        <w:jc w:val="left"/>
      </w:pPr>
      <w:r>
        <w:rPr>
          <w:rFonts w:ascii="Arial" w:hAnsi="Arial" w:eastAsia="Arial" w:cs="Arial"/>
          <w:color w:val="277DB9"/>
          <w:sz w:val="20"/>
          <w:szCs w:val="20"/>
        </w:rPr>
        <w:t xml:space="preserve">In § 40 Abs 8 des ASchG werden nach dem ASchG
erlassene Verordnungen aufgeführt, die in Bezug auf die
Gefahrenbezeichnungen noch nach den durch das ChemG vor
Wirksamwerden der Klassifizierungen nach der CLP-Verordnung
vorgegebenen Begriffen ausgerichtet sind und stellt diesen die mit
der CLP-V eingeführten Begriffe gegenüber oder benennt auch
Erweiterungen der einer bestimmten Gefahrenklasse zugehörigen
Gefahreneigenschaften. Auf die Wiedergabe dieser Auflistung wird
hier verzichtet.</w:t>
      </w:r>
    </w:p>
    <w:p>
      <w:pPr>
        <w:widowControl w:val="on"/>
        <w:pBdr/>
        <w:spacing w:before="140" w:after="240" w:line="288" w:lineRule="auto"/>
        <w:ind w:left="0" w:right="0"/>
        <w:jc w:val="left"/>
      </w:pPr>
      <w:r>
        <w:rPr>
          <w:rFonts w:ascii="Arial" w:hAnsi="Arial" w:eastAsia="Arial" w:cs="Arial"/>
          <w:color w:val="000000"/>
          <w:sz w:val="20"/>
          <w:szCs w:val="20"/>
        </w:rPr>
        <w:t xml:space="preserve">Für Arbeitsstoffe mit gesundheitsgefährdenden Eigenschaften sind
hierunter die in den Absätzen 4 bis 4b angeführten Einstufungen
heranzuziehen. In Abs 4a sind dabei jene Arbeitsstoffe
erfasst, die die in diesem Absatz angeführten
gesundheitsgefährdenden Eigenschaften aufweisen, deren Zuordnung zu
Gefahreneigenschaften jedoch noch nach den Kriterien erfolgte, die
vor dem Wirksamwerden der Einstufungskriterien der CLP-Verordnung
(EG) 1272/2008 anzuwenden waren. Der in dieser Bestimmung
enthaltene Verweis auf § 3 ChemG ist faktisch bedeutungslos,
da die Einstufung von Chemikalien iSd § 40 Abs 1 nur mehr
auf Basis der CLP-Verordnung zu erfolgen hat; im Übrigen wurde mit
der Novelle des ChemG BGBl I 44/2018 der § 3 des Gesetzes
mit Wirkung vom 13.07.1988 aufgehoben. Die Ausführungen des
§ 40 Abs 8 ASchG, in welchem Verordnungen auf Grundlage
des ASchG aufgezählt werden, in denen Regelungen für Arbeitsstoffe
mit gefährlichen Eigenschaften enthalten sind, die sich noch auf
die vor der CLP-Verordnung anzuwendende Klassifizierung beziehen,
sind so zu verstehen, dass für diese Arbeitsstoffe gleichfalls die
arbeitnehmerschutzrechtlichen Vorschriften für nach der
CLP-Klassifizierung eingestufte gefährliche Arbeitsstoffe gelten,
indem diesen Arbeitsstoffen die äquivalente Einstufung gem
CLP-Verordnung zugeordnet wird.</w:t>
      </w:r>
    </w:p>
    <w:p>
      <w:pPr>
        <w:widowControl w:val="on"/>
        <w:pBdr/>
        <w:spacing w:before="0" w:after="105" w:line="288" w:lineRule="auto"/>
        <w:ind w:left="0" w:right="0"/>
        <w:jc w:val="left"/>
      </w:pPr>
      <w:r>
        <w:rPr>
          <w:rFonts w:ascii="Arial" w:hAnsi="Arial" w:eastAsia="Arial" w:cs="Arial"/>
          <w:b/>
          <w:bCs/>
          <w:color w:val="277DB9"/>
          <w:sz w:val="25"/>
          <w:szCs w:val="25"/>
        </w:rPr>
        <w:t xml:space="preserve">Hinweis:</w:t>
      </w:r>
    </w:p>
    <w:p>
      <w:pPr>
        <w:widowControl w:val="on"/>
        <w:pBdr/>
        <w:spacing w:before="140" w:after="240" w:line="288" w:lineRule="auto"/>
        <w:ind w:left="0" w:right="0"/>
        <w:jc w:val="left"/>
      </w:pPr>
      <w:r>
        <w:rPr>
          <w:rFonts w:ascii="Arial" w:hAnsi="Arial" w:eastAsia="Arial" w:cs="Arial"/>
          <w:color w:val="277DB9"/>
          <w:sz w:val="20"/>
          <w:szCs w:val="20"/>
        </w:rPr>
        <w:t xml:space="preserve">Für Arbeiten, bei denen als krebserzeugend geltende Holzstäube
auftreten, s Prüfblatt „Absaugeinrichtungen, Lüftungsanlagen zur
Abführung von Holzstäuben (GKV)“.</w:t>
      </w:r>
    </w:p>
    <w:p>
      <w:pPr>
        <w:widowControl w:val="on"/>
        <w:pBdr/>
        <w:spacing w:before="140" w:after="240" w:line="288" w:lineRule="auto"/>
        <w:ind w:left="0" w:right="0"/>
        <w:jc w:val="left"/>
      </w:pPr>
      <w:r>
        <w:rPr>
          <w:rFonts w:ascii="Arial" w:hAnsi="Arial" w:eastAsia="Arial" w:cs="Arial"/>
          <w:color w:val="000000"/>
          <w:sz w:val="20"/>
          <w:szCs w:val="20"/>
        </w:rPr>
        <w:t xml:space="preserve">Dies diesbezüglichen Bestimmungen des ASchG und der GKV
lauten:</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ASchG § 2 Begriffsbestimmungen</w:t>
      </w:r>
    </w:p>
    <w:p>
      <w:pPr>
        <w:widowControl w:val="on"/>
        <w:pBdr/>
        <w:spacing w:before="140" w:after="240" w:line="288" w:lineRule="auto"/>
        <w:ind w:left="0" w:right="0"/>
        <w:jc w:val="left"/>
      </w:pPr>
      <w:r>
        <w:rPr>
          <w:rFonts w:ascii="Arial" w:hAnsi="Arial" w:eastAsia="Arial" w:cs="Arial"/>
          <w:i/>
          <w:iCs/>
          <w:color w:val="000000"/>
          <w:sz w:val="20"/>
          <w:szCs w:val="20"/>
        </w:rPr>
        <w:t xml:space="preserve">§ 2 (3) Arbeitsstätten im Sinne dieses Bundesgesetzes
sind Arbeitsstätten in Gebäuden und Arbeitsstätten im Freien.
Mehrere auf einem Betriebsgelände gelegene oder sonst im räumlichen
Zusammenhang stehende Gebäude eines Arbeitgebers zählen zusammen
als eine Arbeitsstätte. Baustellen im Sinne dieses Bundesgesetzes
sind zeitlich begrenzte oder ortsveränderliche Baustellen, an denen
Hoch- und Tiefbauarbeiten durchgeführt werden. Dazu zählen
insbesondere folgende Arbeiten: Aushub, Erdarbeiten, Bauarbeiten im
engeren Sinne, Errichtung und Abbau von Fertigbauelementen,
Einrichtung oder Ausstattung, Umbau, Renovierung, Reparatur,
Abbauarbeiten, Abbrucharbeiten, Wartung, Instandhaltungs-, Maler-
und Reinigungsarbeiten, Sanierung. Auswärtige Arbeitsstellen im
Sinne dieses Bundesgesetzes sind alle Orte außerhalb von
Arbeitsstätten, an denen andere Arbeiten als Bauarbeiten
durchgeführt werden insbesondere auch die Stellen in
Verkehrsmitteln, auf denen Arbeiten ausgeführt werden.</w:t>
      </w:r>
    </w:p>
    <w:p>
      <w:pPr>
        <w:widowControl w:val="on"/>
        <w:pBdr/>
        <w:spacing w:before="140" w:after="240" w:line="288" w:lineRule="auto"/>
        <w:ind w:left="0" w:right="0"/>
        <w:jc w:val="left"/>
      </w:pPr>
      <w:r>
        <w:rPr>
          <w:rFonts w:ascii="Arial" w:hAnsi="Arial" w:eastAsia="Arial" w:cs="Arial"/>
          <w:i/>
          <w:iCs/>
          <w:color w:val="000000"/>
          <w:sz w:val="20"/>
          <w:szCs w:val="20"/>
        </w:rPr>
        <w:t xml:space="preserve">(4) Arbeitsplatz im Sinne dieses Bundesgesetzes ist der
räumliche Bereich, in dem sich Arbeitnehmer bei der von ihnen
auszuübenden Tätigkeit aufhalten.</w:t>
      </w:r>
    </w:p>
    <w:p>
      <w:pPr>
        <w:widowControl w:val="on"/>
        <w:pBdr/>
        <w:spacing w:before="140" w:after="240" w:line="288" w:lineRule="auto"/>
        <w:ind w:left="0" w:right="0"/>
        <w:jc w:val="left"/>
      </w:pPr>
      <w:r>
        <w:rPr>
          <w:rFonts w:ascii="Arial" w:hAnsi="Arial" w:eastAsia="Arial" w:cs="Arial"/>
          <w:i/>
          <w:iCs/>
          <w:color w:val="000000"/>
          <w:sz w:val="20"/>
          <w:szCs w:val="20"/>
        </w:rPr>
        <w:t xml:space="preserve">(6) Arbeitsstoffe im Sinne dieses Bundesgesetzes sind alle
Stoffe, Gemische (Zubereitungen) und biologischen Agenzien, die bei
der Arbeit verwendet werden. Als „Verwenden“ gilt auch das
Gewinnen, Erzeugen, Anfallen, Entstehen, Gebrauchen, Verbrauchen,
Bearbeiten, Verarbeiten, Abfüllen, Umfüllen, Mischen, Beseitigen,
Lagern, Aufbewahren, Bereithalten zur Verwendung und das
innerbetriebliche Befördern.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ASchG § 43 Maßnahmen zur Gefahrenverhütung</w:t>
      </w:r>
    </w:p>
    <w:p>
      <w:pPr>
        <w:widowControl w:val="on"/>
        <w:pBdr/>
        <w:spacing w:before="140" w:after="240" w:line="288" w:lineRule="auto"/>
        <w:ind w:left="0" w:right="0"/>
        <w:jc w:val="left"/>
      </w:pPr>
      <w:r>
        <w:rPr>
          <w:rFonts w:ascii="Arial" w:hAnsi="Arial" w:eastAsia="Arial" w:cs="Arial"/>
          <w:i/>
          <w:iCs/>
          <w:color w:val="000000"/>
          <w:sz w:val="20"/>
          <w:szCs w:val="20"/>
        </w:rPr>
        <w:t xml:space="preserve">§ 43 (2) Stehen gefährliche Arbeitsstoffe in
Verwendung, haben Arbeitgeber Maßnahmen zur Gefahrenverhütung in
folgender Rangordnung zu treffen:</w:t>
      </w:r>
    </w:p>
    <w:p>
      <w:pPr>
        <w:widowControl w:val="on"/>
        <w:pBdr/>
        <w:spacing w:before="140" w:after="240" w:line="288" w:lineRule="auto"/>
        <w:ind w:left="0" w:right="0"/>
        <w:jc w:val="left"/>
      </w:pPr>
      <w:r>
        <w:rPr>
          <w:rFonts w:ascii="Arial" w:hAnsi="Arial" w:eastAsia="Arial" w:cs="Arial"/>
          <w:i/>
          <w:iCs/>
          <w:color w:val="000000"/>
          <w:sz w:val="20"/>
          <w:szCs w:val="20"/>
        </w:rPr>
        <w:t xml:space="preserv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Kann durch diese Maßnahmen nicht verhindert werden, daß
gefährliche Gase, Dämpfe oder Schwebstoffe frei werden, so sind
diese an ihrer Austritts- oder Entstehungsstelle vollständig zu
erfassen und anschließend ohne Gefahr für die Arbeitnehmer zu
beseitigen, soweit dies nach dem Stand der Technik möglich
ist.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Ist eine solche vollständige Erfassung nicht möglich, sind
zusätzlich zu den Maßnahmen gemäß Z 5 die dem Stand der
Technik entsprechenden Lüftungsmaßnahmen zu treffen. …</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GKV § 27e Lagerung von gefährlichen Arbeitsstoffen</w:t>
      </w:r>
    </w:p>
    <w:p>
      <w:pPr>
        <w:widowControl w:val="on"/>
        <w:pBdr/>
        <w:spacing w:before="140" w:after="240" w:line="288" w:lineRule="auto"/>
        <w:ind w:left="0" w:right="0"/>
        <w:jc w:val="left"/>
      </w:pPr>
      <w:r>
        <w:rPr>
          <w:rFonts w:ascii="Arial" w:hAnsi="Arial" w:eastAsia="Arial" w:cs="Arial"/>
          <w:i/>
          <w:iCs/>
          <w:color w:val="000000"/>
          <w:sz w:val="20"/>
          <w:szCs w:val="20"/>
        </w:rPr>
        <w:t xml:space="preserve">§ 27e (4) Räume, in denen Behälter gelagert werden, die
gefährliche Arbeitsstoffe, verdichtete, verflüssigte oder unter
Druck gelöste Gase oder nicht atembare Gase enthalten, … Die im
ersten Satz genannten Räume müssen so angelegt sein, dass eine
gefährliche Ansammlung von Arbeitsstoffen nicht möglich ist.
Insbesondere wenn Gase und Dämpfe schwerer als Luft sind, ist dies
durch eine ausreichende natürliche oder mechanische Lüftung
unmittelbar ins Freie sicherzustellen und Vorsorge zu treffen, dass
sich solche Gase und Dämpfe in tiefer gelegenen Räumen in nicht
gefährlicher Menge ansammeln können. …</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ASchG § 40 Arbeitsstoffe – Gefährliche Arbeitsstoffe</w:t>
      </w:r>
    </w:p>
    <w:p>
      <w:pPr>
        <w:widowControl w:val="on"/>
        <w:pBdr/>
        <w:spacing w:before="140" w:after="240" w:line="288" w:lineRule="auto"/>
        <w:ind w:left="0" w:right="0"/>
        <w:jc w:val="left"/>
      </w:pPr>
      <w:r>
        <w:rPr>
          <w:rFonts w:ascii="Arial" w:hAnsi="Arial" w:eastAsia="Arial" w:cs="Arial"/>
          <w:i/>
          <w:iCs/>
          <w:color w:val="000000"/>
          <w:sz w:val="20"/>
          <w:szCs w:val="20"/>
        </w:rPr>
        <w:t xml:space="preserve">§ 40 (1) Gefährliche Arbeitsstoffe sind
explosionsgefährliche, brandgefährliche und gesundheitsgefährdende
Arbeitsstoffe sowie biologische Arbeitsstoffe, … Soweit im
Folgenden Gefahrenklassen oder -kategorien genannt sind, sind diese
im Sinne der Kriterien nach Anhang I Teil 2 und 3 der Verordnung
(EG) 1272/2008 (CLP-Verordnung) zu verstehen, auch wenn der
Arbeitsstoff nicht aufgrund dieser Verordnung eingestuft
ist.</w:t>
      </w:r>
    </w:p>
    <w:p>
      <w:pPr>
        <w:widowControl w:val="on"/>
        <w:pBdr/>
        <w:spacing w:before="140" w:after="240" w:line="288" w:lineRule="auto"/>
        <w:ind w:left="0" w:right="0"/>
        <w:jc w:val="left"/>
      </w:pPr>
      <w:r>
        <w:rPr>
          <w:rFonts w:ascii="Arial" w:hAnsi="Arial" w:eastAsia="Arial" w:cs="Arial"/>
          <w:i/>
          <w:iCs/>
          <w:color w:val="000000"/>
          <w:sz w:val="20"/>
          <w:szCs w:val="20"/>
        </w:rPr>
        <w:t xml:space="preserve">(4) Gesundheitsgefährdende Arbeitsstoffe sind Arbeitsstoffe,
die einer der folgenden Gefahrenklassen zugeordnet werden
können:</w:t>
      </w:r>
    </w:p>
    <w:p>
      <w:pPr>
        <w:widowControl w:val="on"/>
        <w:pBdr/>
        <w:spacing w:before="140" w:after="240" w:line="288" w:lineRule="auto"/>
        <w:ind w:left="0" w:right="0"/>
        <w:jc w:val="left"/>
      </w:pPr>
      <w:r>
        <w:rPr>
          <w:rFonts w:ascii="Arial" w:hAnsi="Arial" w:eastAsia="Arial" w:cs="Arial"/>
          <w:i/>
          <w:iCs/>
          <w:color w:val="000000"/>
          <w:sz w:val="20"/>
          <w:szCs w:val="20"/>
        </w:rPr>
        <w:t xml:space="preserve">1. Akute Toxizität (Gefahrenklasse 3.1),</w:t>
      </w:r>
    </w:p>
    <w:p>
      <w:pPr>
        <w:widowControl w:val="on"/>
        <w:pBdr/>
        <w:spacing w:before="140" w:after="240" w:line="288" w:lineRule="auto"/>
        <w:ind w:left="0" w:right="0"/>
        <w:jc w:val="left"/>
      </w:pPr>
      <w:r>
        <w:rPr>
          <w:rFonts w:ascii="Arial" w:hAnsi="Arial" w:eastAsia="Arial" w:cs="Arial"/>
          <w:i/>
          <w:iCs/>
          <w:color w:val="000000"/>
          <w:sz w:val="20"/>
          <w:szCs w:val="20"/>
        </w:rPr>
        <w:t xml:space="preserve">2. Ätz-/Reizwirkung auf die Haut (Gefahrenklasse
3.2),</w:t>
      </w:r>
    </w:p>
    <w:p>
      <w:pPr>
        <w:widowControl w:val="on"/>
        <w:pBdr/>
        <w:spacing w:before="140" w:after="240" w:line="288" w:lineRule="auto"/>
        <w:ind w:left="0" w:right="0"/>
        <w:jc w:val="left"/>
      </w:pPr>
      <w:r>
        <w:rPr>
          <w:rFonts w:ascii="Arial" w:hAnsi="Arial" w:eastAsia="Arial" w:cs="Arial"/>
          <w:i/>
          <w:iCs/>
          <w:color w:val="000000"/>
          <w:sz w:val="20"/>
          <w:szCs w:val="20"/>
        </w:rPr>
        <w:t xml:space="preserve">3. Schwere Augenschädigung/Augenreizung (Gefahrenklasse
3.3),</w:t>
      </w:r>
    </w:p>
    <w:p>
      <w:pPr>
        <w:widowControl w:val="on"/>
        <w:pBdr/>
        <w:spacing w:before="140" w:after="240" w:line="288" w:lineRule="auto"/>
        <w:ind w:left="0" w:right="0"/>
        <w:jc w:val="left"/>
      </w:pPr>
      <w:r>
        <w:rPr>
          <w:rFonts w:ascii="Arial" w:hAnsi="Arial" w:eastAsia="Arial" w:cs="Arial"/>
          <w:i/>
          <w:iCs/>
          <w:color w:val="000000"/>
          <w:sz w:val="20"/>
          <w:szCs w:val="20"/>
        </w:rPr>
        <w:t xml:space="preserve">4. Sensibilisierung der Atemwege oder der Haut
(Gefahrenklasse 3.4),</w:t>
      </w:r>
    </w:p>
    <w:p>
      <w:pPr>
        <w:widowControl w:val="on"/>
        <w:pBdr/>
        <w:spacing w:before="140" w:after="240" w:line="288" w:lineRule="auto"/>
        <w:ind w:left="0" w:right="0"/>
        <w:jc w:val="left"/>
      </w:pPr>
      <w:r>
        <w:rPr>
          <w:rFonts w:ascii="Arial" w:hAnsi="Arial" w:eastAsia="Arial" w:cs="Arial"/>
          <w:i/>
          <w:iCs/>
          <w:color w:val="000000"/>
          <w:sz w:val="20"/>
          <w:szCs w:val="20"/>
        </w:rPr>
        <w:t xml:space="preserve">5. Keimzellmutagenität (Gefahrenklasse 3.5),</w:t>
      </w:r>
    </w:p>
    <w:p>
      <w:pPr>
        <w:widowControl w:val="on"/>
        <w:pBdr/>
        <w:spacing w:before="140" w:after="240" w:line="288" w:lineRule="auto"/>
        <w:ind w:left="0" w:right="0"/>
        <w:jc w:val="left"/>
      </w:pPr>
      <w:r>
        <w:rPr>
          <w:rFonts w:ascii="Arial" w:hAnsi="Arial" w:eastAsia="Arial" w:cs="Arial"/>
          <w:i/>
          <w:iCs/>
          <w:color w:val="000000"/>
          <w:sz w:val="20"/>
          <w:szCs w:val="20"/>
        </w:rPr>
        <w:t xml:space="preserve">6. Karzinogenität (Gefahrenklasse 3.6),</w:t>
      </w:r>
    </w:p>
    <w:p>
      <w:pPr>
        <w:widowControl w:val="on"/>
        <w:pBdr/>
        <w:spacing w:before="140" w:after="240" w:line="288" w:lineRule="auto"/>
        <w:ind w:left="0" w:right="0"/>
        <w:jc w:val="left"/>
      </w:pPr>
      <w:r>
        <w:rPr>
          <w:rFonts w:ascii="Arial" w:hAnsi="Arial" w:eastAsia="Arial" w:cs="Arial"/>
          <w:i/>
          <w:iCs/>
          <w:color w:val="000000"/>
          <w:sz w:val="20"/>
          <w:szCs w:val="20"/>
        </w:rPr>
        <w:t xml:space="preserve">7. Reproduktionstoxizität (Gefahrenklasse 3.7),</w:t>
      </w:r>
    </w:p>
    <w:p>
      <w:pPr>
        <w:widowControl w:val="on"/>
        <w:pBdr/>
        <w:spacing w:before="140" w:after="240" w:line="288" w:lineRule="auto"/>
        <w:ind w:left="0" w:right="0"/>
        <w:jc w:val="left"/>
      </w:pPr>
      <w:r>
        <w:rPr>
          <w:rFonts w:ascii="Arial" w:hAnsi="Arial" w:eastAsia="Arial" w:cs="Arial"/>
          <w:i/>
          <w:iCs/>
          <w:color w:val="000000"/>
          <w:sz w:val="20"/>
          <w:szCs w:val="20"/>
        </w:rPr>
        <w:t xml:space="preserve">8. Spezifische Zielorgan-Toxizität, einmalige Exposition
(Gefahrenklasse 3.8),</w:t>
      </w:r>
    </w:p>
    <w:p>
      <w:pPr>
        <w:widowControl w:val="on"/>
        <w:pBdr/>
        <w:spacing w:before="140" w:after="240" w:line="288" w:lineRule="auto"/>
        <w:ind w:left="0" w:right="0"/>
        <w:jc w:val="left"/>
      </w:pPr>
      <w:r>
        <w:rPr>
          <w:rFonts w:ascii="Arial" w:hAnsi="Arial" w:eastAsia="Arial" w:cs="Arial"/>
          <w:i/>
          <w:iCs/>
          <w:color w:val="000000"/>
          <w:sz w:val="20"/>
          <w:szCs w:val="20"/>
        </w:rPr>
        <w:t xml:space="preserve">9. Spezifische Zielorgan-Toxizität, wiederholte Exposition
(Gefahrenklasse 3.9),</w:t>
      </w:r>
    </w:p>
    <w:p>
      <w:pPr>
        <w:widowControl w:val="on"/>
        <w:pBdr/>
        <w:spacing w:before="140" w:after="240" w:line="288" w:lineRule="auto"/>
        <w:ind w:left="0" w:right="0"/>
        <w:jc w:val="left"/>
      </w:pPr>
      <w:r>
        <w:rPr>
          <w:rFonts w:ascii="Arial" w:hAnsi="Arial" w:eastAsia="Arial" w:cs="Arial"/>
          <w:i/>
          <w:iCs/>
          <w:color w:val="000000"/>
          <w:sz w:val="20"/>
          <w:szCs w:val="20"/>
        </w:rPr>
        <w:t xml:space="preserve">10. Aspirationsgefahr (Gefahrenklasse 3.10).</w:t>
      </w:r>
    </w:p>
    <w:p>
      <w:pPr>
        <w:widowControl w:val="on"/>
        <w:pBdr/>
        <w:spacing w:before="140" w:after="240" w:line="288" w:lineRule="auto"/>
        <w:ind w:left="0" w:right="0"/>
        <w:jc w:val="left"/>
      </w:pPr>
      <w:r>
        <w:rPr>
          <w:rFonts w:ascii="Arial" w:hAnsi="Arial" w:eastAsia="Arial" w:cs="Arial"/>
          <w:i/>
          <w:iCs/>
          <w:color w:val="000000"/>
          <w:sz w:val="20"/>
          <w:szCs w:val="20"/>
        </w:rPr>
        <w:t xml:space="preserve">(4a) Gesundheitsgefährdende Arbeitsstoffe sind weiters
Arbeitsstoffe, die sehr giftige, giftige, gesundheitsschädliche
(mindergiftige), ätzende, reizende, krebserzeugende,
erbgutverändernde, fortpflanzungsgefährdende oder sensibilisierende
Eigenschaften im Sinne des § 3 des Chemikaliengesetzes 1996,
BGBl I 53/1997 in der Fassung BGBl I 14/2015, aufweisen
(Anm: mit der ChemG-Novelle BGBl I 44/2018 wurde der § 3
des Gesetzes mit Wirkung vom 13.07.1988 aufgehoben).</w:t>
      </w:r>
    </w:p>
    <w:p>
      <w:pPr>
        <w:widowControl w:val="on"/>
        <w:pBdr/>
        <w:spacing w:before="140" w:after="240" w:line="288" w:lineRule="auto"/>
        <w:ind w:left="0" w:right="0"/>
        <w:jc w:val="left"/>
      </w:pPr>
      <w:r>
        <w:rPr>
          <w:rFonts w:ascii="Arial" w:hAnsi="Arial" w:eastAsia="Arial" w:cs="Arial"/>
          <w:i/>
          <w:iCs/>
          <w:color w:val="000000"/>
          <w:sz w:val="20"/>
          <w:szCs w:val="20"/>
        </w:rPr>
        <w:t xml:space="preserve">(4b) Gesundheitsgefährdende Arbeitsstoffe sind weiters
Arbeitsstoffe, die eine der folgenden Eigenschaften
aufweisen: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„fibrogen“, wenn sie als Schwebstoffe durch Einatmen mit
Bindegewebsbildung einhergehende Erkrankungen der Lunge verursachen
können;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„radioaktiv“, wenn sie zufolge spontaner Kernprozesse
ionisierende Strahlen aussenden;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„biologisch inert“, wenn sie als Stäube weder giftig noch
fibrogen wirken und keine spezifischen Krankheitserscheinungen
hervorrufen, jedoch eine Beeinträchtigung von Funktionen der
Atmungsorgane verursachen können.</w:t>
            </w:r>
          </w:p>
        </w:tc>
      </w:tr>
    </w:tbl>
    <w:p>
      <w:pPr>
        <w:widowControl w:val="on"/>
        <w:pBdr/>
        <w:spacing w:before="140" w:after="240" w:line="288" w:lineRule="auto"/>
        <w:ind w:left="0" w:right="0"/>
        <w:jc w:val="left"/>
      </w:pPr>
      <w:r>
        <w:rPr>
          <w:rFonts w:ascii="Arial" w:hAnsi="Arial" w:eastAsia="Arial" w:cs="Arial"/>
          <w:i/>
          <w:iCs/>
          <w:color w:val="000000"/>
          <w:sz w:val="20"/>
          <w:szCs w:val="20"/>
        </w:rPr>
        <w:t xml:space="preserve">(8) Bestimmungen über gefährliche Arbeitsstoffe in
Verordnungen zu diesem Bundesgesetz oder in Rechtsvorschriften, die
nach dem 9. Abschnitt dieses Bundesgesetzes weitergelten, gelten
mit folgenden Maßgaben:</w:t>
      </w:r>
    </w:p>
    <w:p>
      <w:pPr>
        <w:widowControl w:val="on"/>
        <w:pBdr/>
        <w:spacing w:before="140" w:after="240" w:line="288" w:lineRule="auto"/>
        <w:ind w:left="0" w:right="0"/>
        <w:jc w:val="left"/>
      </w:pPr>
      <w:r>
        <w:rPr>
          <w:rFonts w:ascii="Arial" w:hAnsi="Arial" w:eastAsia="Arial" w:cs="Arial"/>
          <w:i/>
          <w:iCs/>
          <w:color w:val="000000"/>
          <w:sz w:val="20"/>
          <w:szCs w:val="20"/>
        </w:rPr>
        <w:t xml:space="preserv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Bestimmungen für Arbeitsstoffe mit giftigen Eigenschaften
gelten auch für Arbeitsstoffe, die einer der folgenden
Gefahrenklassen zugeordnet werden können</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a.</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akute Toxizität (Gefahrenklasse 3.1) Kategorie 1 bis
3,</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b.</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spezifische Zielorgan-Toxizität bei einmaliger oder
wiederholter Exposition (Gefahrenklasse 3.8 oder 3.9) jeweils
Kategorie 1,</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c.</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Aspirationsgefahr (Gefahrenklasse 3.10);</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Bestimmungen für Arbeitsstoffe mit gesundheitsschädlichen
Eigenschaften gelten auch für Arbeitsstoffe, die einer der
folgenden Gefahrenklassen zugeordnet werden können</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a.</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akute Toxizität (Gefahrenklasse 3.1) Kategorie 4,</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b.</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spezifische Zielorgan-Toxizität, einmalige Exposition
(Gefahrenklasse 3.8) Kategorien 2 und 3,</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c.</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spezifische Zielorgan-Toxizität, wiederholte Exposition
(Gefahrenklasse 3.9) Kategorie 2;</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7.</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Bestimmungen für Arbeitsstoffe mit ätzenden Eigenschaften
gelten auch für Arbeitsstoffe, die einer der folgenden
Gefahrenklassen zugeordnet werden können</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a.</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Ätz-/Reizwirkung auf die Haut (Gefahrenklasse 3.2)
Kategorien 1A, 1B und 1C,</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b.</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schwere Augenschädigung/Augenreizung (Gefahrenklasse 3.3)
Kategorie 1;</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8.</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Bestimmungen für Arbeitsstoffe mit reizenden Eigenschaften
gelten auch für Arbeitsstoffe, die einer der folgenden
Gefahrenklassen zugeordnet werden können</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a.</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Ätz-/Reizwirkung auf die Haut (Gefahrenklasse 3.2) Kategorie
2,</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b.</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schwere Augenschädigung/Augenreizung (Gefahrenklasse 3.3)
Kategorie 2,</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c.</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spezifische Zielorgan-Toxizität bei einmaliger Exposition
(Gefahrenklasse 3.8) Kategorie 3;</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9.</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Bestimmungen für Arbeitsstoffe mit sensibilisierenden
Eigenschaften gelten auch für Arbeitsstoffe, die der Gefahrenklasse
3.4 (Sensibilisierung der Atemwege oder der Haut) zugeordnet werden
können;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10.</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Bestimmungen für Arbeitsstoffe mit erbgutverändernden
Eigenschaften gelten auch für Arbeitsstoffe, die der Gefahrenklasse
3.5 (Keimzellmutagenität) zugeordnet werden können;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Bestimmungen für Arbeitsstoffe mit krebserzeugenden
Eigenschaften gelten auch für Arbeitsstoffe, die der Gefahrenklasse
3.6 (Karzinogenität) zugeordnet werden können;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12.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Bestimmungen für Arbeitsstoffe mit
fortpflanzungsgefährdenden Eigenschaften gelten auch für
Arbeitsstoffe, die der Gefahrenklasse 3.7 (Reproduktionstoxizität)
zugeordnet werden können.</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GKV § 10 Krebserzeugende und fortpflanzungsgefährdende
(reproduktionstoxische) Arbeitsstoffe – Einstufung und Unterteilung
von krebserzeugenden Arbeitsstoffen</w:t>
      </w:r>
    </w:p>
    <w:p>
      <w:pPr>
        <w:widowControl w:val="on"/>
        <w:pBdr/>
        <w:spacing w:before="140" w:after="240" w:line="288" w:lineRule="auto"/>
        <w:ind w:left="0" w:right="0"/>
        <w:jc w:val="left"/>
      </w:pPr>
      <w:r>
        <w:rPr>
          <w:rFonts w:ascii="Arial" w:hAnsi="Arial" w:eastAsia="Arial" w:cs="Arial"/>
          <w:i/>
          <w:iCs/>
          <w:color w:val="000000"/>
          <w:sz w:val="20"/>
          <w:szCs w:val="20"/>
        </w:rPr>
        <w:t xml:space="preserve">§ 10 (1) Als krebserzeugend im Sinne des 4. Abschnittes
des ASchG (Anm: „Arbeitsstoffe“) gelten jedenfalls Arbeitsstoffe,
die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1. </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in Anhang III (Liste krebserzeugender Arbeitsstoffe) oder
Anhang V (Liste von Hölzern, deren Stäube als eindeutig
krebserzeugend gelten) genannt sind oder</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nach den Bestimmungen des Chemikaliengesetzes 1996 oder des
Pflanzenschutzmittelgesetzes 2011 als krebserzeugend einzustufen
oder zu kennzeichnen sind oder die in Anhang I der Verordnung (EG)
1272/2008 über die Einstufung, Kennzeichnung und Verpackung von
Stoffen und Gemischen, ABl L 353 S 1, in der jeweils
geltenden Fassung, genannten Kriterien für die Einstufung als
karzinogener Stoff der Kategorie 1A oder 1B erfüllen.</w:t>
            </w:r>
          </w:p>
        </w:tc>
      </w:tr>
    </w:tbl>
    <w:p>
      <w:pPr>
        <w:widowControl w:val="on"/>
        <w:pBdr/>
        <w:spacing w:before="140" w:after="240" w:line="288" w:lineRule="auto"/>
        <w:ind w:left="0" w:right="0"/>
        <w:jc w:val="left"/>
      </w:pPr>
      <w:r>
        <w:rPr>
          <w:rFonts w:ascii="Arial" w:hAnsi="Arial" w:eastAsia="Arial" w:cs="Arial"/>
          <w:i/>
          <w:iCs/>
          <w:color w:val="000000"/>
          <w:sz w:val="20"/>
          <w:szCs w:val="20"/>
        </w:rPr>
        <w:t xml:space="preserve">(2) Krebserzeugende Arbeitsstoffe werden unterteilt
in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1. </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eindeutig krebserzeugende Arbeitsstoffe, das sind
Arbeitsstoffe, die beim Menschen erfahrungsgemäß bösartige
Geschwülste zu verursachen vermögen oder sich im Tierversuch als
krebserzeugend erwiesen haben, und</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Arbeitsstoffe mit begründetem Verdacht auf krebserzeugendes
Potenzial.</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GKV § 10a Krebserzeugende und fortpflanzungsgefährdende
(reproduktionstoxische) Arbeitsstoffe – Einstufung und Unterteilung
von fortpflanzungsgefährdenden (reproduktionstoxischen)
Arbeitsstoffen</w:t>
      </w:r>
    </w:p>
    <w:p>
      <w:pPr>
        <w:widowControl w:val="on"/>
        <w:pBdr/>
        <w:spacing w:before="140" w:after="240" w:line="288" w:lineRule="auto"/>
        <w:ind w:left="0" w:right="0"/>
        <w:jc w:val="left"/>
      </w:pPr>
      <w:r>
        <w:rPr>
          <w:rFonts w:ascii="Arial" w:hAnsi="Arial" w:eastAsia="Arial" w:cs="Arial"/>
          <w:i/>
          <w:iCs/>
          <w:color w:val="000000"/>
          <w:sz w:val="20"/>
          <w:szCs w:val="20"/>
        </w:rPr>
        <w:t xml:space="preserve">§ 10a (1) Als fortpflanzungsgefährdende
(reproduktionstoxische) Arbeitsstoffe im Sinne des 4. Abschnittes
des ASchG (Anm: „Arbeitsstoffe“) gelten jedenfalls Arbeitsstoffe,
die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1. </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in Anhang VI (fortpflanzungsgefährdende
(reproduktionstoxische) Arbeitsstoffe) genannt sind oder</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nach den Bestimmungen des Chemikaliengesetzes 1996 oder des
Pflanzenschutzmittelgesetzes 2011 als fortpflanzungsgefährdende
Stoffe einzustufen und zu kennzeichnen sind oder die in Anhang I
der Verordnung (EG) 1272/2008 über die Einstufung, Kennzeichnung
und Verpackung von Stoffen und Gemischen, ABl L 353 S 1,
in der jeweils geltenden Fassung, genannten Kriterien für die
Einstufung als reproduktionstoxischer Stoff der Kategorie 1A oder
1B erfüllen.</w:t>
            </w:r>
          </w:p>
        </w:tc>
      </w:tr>
    </w:tbl>
    <w:p>
      <w:pPr>
        <w:widowControl w:val="on"/>
        <w:pBdr/>
        <w:spacing w:before="140" w:after="240" w:line="288" w:lineRule="auto"/>
        <w:ind w:left="0" w:right="0"/>
        <w:jc w:val="left"/>
      </w:pPr>
      <w:r>
        <w:rPr>
          <w:rFonts w:ascii="Arial" w:hAnsi="Arial" w:eastAsia="Arial" w:cs="Arial"/>
          <w:i/>
          <w:iCs/>
          <w:color w:val="000000"/>
          <w:sz w:val="20"/>
          <w:szCs w:val="20"/>
        </w:rPr>
        <w:t xml:space="preserve">(2) Fortpflanzungsgefährdende Stoffe werden unterteilt
in: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kann die Fruchtbarkeit beeinträchtigen,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kann vermutlich die Fruchtbarkeit beeinträchtigen,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kann das Kind im Mutterleib schädigen,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kann vermutlich das Kind im Mutterleib schädigen,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kann Säuglinge über die Muttermilch schädigen.</w:t>
            </w:r>
          </w:p>
        </w:tc>
      </w:tr>
    </w:tbl>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Prüfungen</w:t>
      </w:r>
    </w:p>
    <w:p>
      <w:pPr>
        <w:widowControl w:val="on"/>
        <w:pBdr/>
        <w:spacing w:before="140" w:after="240" w:line="288" w:lineRule="auto"/>
        <w:ind w:left="0" w:right="0"/>
        <w:jc w:val="left"/>
      </w:pPr>
      <w:r>
        <w:rPr>
          <w:rFonts w:ascii="Arial" w:hAnsi="Arial" w:eastAsia="Arial" w:cs="Arial"/>
          <w:color w:val="000000"/>
          <w:sz w:val="20"/>
          <w:szCs w:val="20"/>
        </w:rPr>
        <w:t xml:space="preserve">Die Prüfverpflichtungen des 5. Abschnitts der GKV betreffen
Absaug- und mechanische Lüftungsanlagen für Arbeitsstoffe, die der
Gruppe der gesundheitsgefährdenden Stoffe und Gemische zuzuordnen
sind. Dementsprechend sind die technischen Anforderungen an
Absaugeinrichtungen oder Lüftungsanlagen zur Abführung der mit
derart eingestuften Arbeitsstoffen belasteten Luft sowie die
Prüfpflichten zur Sicherstellung des ordnungsgemäßen Zustandes der
Absaugung bzw mechanischen Lüftung in § 32 Abss 1, 2 u 3 GKV
festgelegt.</w:t>
      </w:r>
    </w:p>
    <w:p>
      <w:pPr>
        <w:widowControl w:val="on"/>
        <w:pBdr/>
        <w:spacing w:before="140" w:after="240" w:line="288" w:lineRule="auto"/>
        <w:ind w:left="0" w:right="0"/>
        <w:jc w:val="left"/>
      </w:pPr>
      <w:r>
        <w:rPr>
          <w:rFonts w:ascii="Arial" w:hAnsi="Arial" w:eastAsia="Arial" w:cs="Arial"/>
          <w:color w:val="000000"/>
          <w:sz w:val="20"/>
          <w:szCs w:val="20"/>
        </w:rPr>
        <w:t xml:space="preserve">Absaug- bzw Lüftungsanlagen dürfen gem § 32 Abs 1 GKV
erstmalig nur in Betrieb genommen werden, wenn ihre Wirksamkeit
durch repräsentative Messung der Absaugleistung nachgewiesen wurde.
Dies ist gem Abs 2 dieser Bestimmung in der Folge
wiederkehrend durch Feststellung ihres ordnungsgemäßen Zustandes zu
überprüfen. Im Falle von Änderungen, Erweiterungen oder
Umgestaltungen, die sich auf die Absaugleistung auswirken können,
ist gem Abs 3 dieser Bestimmung eine ergänzende Prüfung
vorzunehmen.</w:t>
      </w:r>
    </w:p>
    <w:p>
      <w:pPr>
        <w:widowControl w:val="on"/>
        <w:pBdr/>
        <w:spacing w:before="140" w:after="240" w:line="288" w:lineRule="auto"/>
        <w:ind w:left="0" w:right="0"/>
        <w:jc w:val="left"/>
      </w:pPr>
      <w:r>
        <w:rPr>
          <w:rFonts w:ascii="Arial" w:hAnsi="Arial" w:eastAsia="Arial" w:cs="Arial"/>
          <w:color w:val="000000"/>
          <w:sz w:val="20"/>
          <w:szCs w:val="20"/>
        </w:rPr>
        <w:t xml:space="preserve">Von den Prüfbestimmungen ausgenommen sind gem § 32
Abs 6 GKV Industriestaubsauger, die nur zur Abreinigung
verwendet werden.</w:t>
      </w:r>
    </w:p>
    <w:p>
      <w:pPr>
        <w:widowControl w:val="on"/>
        <w:pBdr/>
        <w:spacing w:before="140" w:after="240" w:line="288" w:lineRule="auto"/>
        <w:ind w:left="0" w:right="0"/>
        <w:jc w:val="left"/>
      </w:pPr>
      <w:r>
        <w:rPr>
          <w:rFonts w:ascii="Arial" w:hAnsi="Arial" w:eastAsia="Arial" w:cs="Arial"/>
          <w:color w:val="000000"/>
          <w:sz w:val="20"/>
          <w:szCs w:val="20"/>
        </w:rPr>
        <w:t xml:space="preserve">Die entsprechenden Bestimmungen der GKV lauten:</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GKV § 32 Messungen – Prüfungen</w:t>
      </w:r>
    </w:p>
    <w:p>
      <w:pPr>
        <w:widowControl w:val="on"/>
        <w:pBdr/>
        <w:spacing w:before="140" w:after="240" w:line="288" w:lineRule="auto"/>
        <w:ind w:left="0" w:right="0"/>
        <w:jc w:val="left"/>
      </w:pPr>
      <w:r>
        <w:rPr>
          <w:rFonts w:ascii="Arial" w:hAnsi="Arial" w:eastAsia="Arial" w:cs="Arial"/>
          <w:i/>
          <w:iCs/>
          <w:color w:val="000000"/>
          <w:sz w:val="20"/>
          <w:szCs w:val="20"/>
        </w:rPr>
        <w:t xml:space="preserve">§ 32 (1) Absaug- oder mechanische Lüftungsanlagen zur
Abführung von gesundheitsgefährdenden Arbeitsstoffen dürfen nur
dann in Betrieb genommen werden, wenn vor ihrer erstmaligen
Inbetriebnahme ihre Wirksamkeit bezogen auf die zu erwartende
Exposition am Arbeitsplatz durch eine repräsentative Messung der
Absaug- bzw Lüftungsleistung nachgewiesen wurde.</w:t>
      </w:r>
    </w:p>
    <w:p>
      <w:pPr>
        <w:widowControl w:val="on"/>
        <w:pBdr/>
        <w:spacing w:before="140" w:after="240" w:line="288" w:lineRule="auto"/>
        <w:ind w:left="0" w:right="0"/>
        <w:jc w:val="left"/>
      </w:pPr>
      <w:r>
        <w:rPr>
          <w:rFonts w:ascii="Arial" w:hAnsi="Arial" w:eastAsia="Arial" w:cs="Arial"/>
          <w:i/>
          <w:iCs/>
          <w:color w:val="000000"/>
          <w:sz w:val="20"/>
          <w:szCs w:val="20"/>
        </w:rPr>
        <w:t xml:space="preserve">(2) Absaug- oder mechanische Lüftungsanlagen oder
Absauggeräte zur Abführung von gesundheitsgefährdenden
Arbeitsstoffen sind … auf ihren ordnungsgemäßen Zustand zu
überprüfen.</w:t>
      </w:r>
    </w:p>
    <w:p>
      <w:pPr>
        <w:widowControl w:val="on"/>
        <w:pBdr/>
        <w:spacing w:before="140" w:after="240" w:line="288" w:lineRule="auto"/>
        <w:ind w:left="0" w:right="0"/>
        <w:jc w:val="left"/>
      </w:pPr>
      <w:r>
        <w:rPr>
          <w:rFonts w:ascii="Arial" w:hAnsi="Arial" w:eastAsia="Arial" w:cs="Arial"/>
          <w:i/>
          <w:iCs/>
          <w:color w:val="000000"/>
          <w:sz w:val="20"/>
          <w:szCs w:val="20"/>
        </w:rPr>
        <w:t xml:space="preserve">(3) Werden an Anlagen gemäß Abs 1 Änderungen,
Erweiterungen oder Umgestaltungen vorgenommen, die sich auf die
Absaug- oder Lüftungsleistung auswirken, ist die Prüfung zu
ergänzen.</w:t>
      </w:r>
    </w:p>
    <w:p>
      <w:pPr>
        <w:widowControl w:val="on"/>
        <w:pBdr/>
        <w:spacing w:before="140" w:after="240" w:line="288" w:lineRule="auto"/>
        <w:ind w:left="0" w:right="0"/>
        <w:jc w:val="left"/>
      </w:pPr>
      <w:r>
        <w:rPr>
          <w:rFonts w:ascii="Arial" w:hAnsi="Arial" w:eastAsia="Arial" w:cs="Arial"/>
          <w:i/>
          <w:iCs/>
          <w:color w:val="000000"/>
          <w:sz w:val="20"/>
          <w:szCs w:val="20"/>
        </w:rPr>
        <w:t xml:space="preserve">(6) Abs 1 bis Abs 5 gilt nicht für
Industriestaubsauger, die nur für die Abreinigung verwendet
werden.</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Prüffristen</w:t>
      </w:r>
    </w:p>
    <w:p>
      <w:pPr>
        <w:widowControl w:val="on"/>
        <w:pBdr/>
        <w:spacing w:before="140" w:after="240" w:line="288" w:lineRule="auto"/>
        <w:ind w:left="0" w:right="0"/>
        <w:jc w:val="left"/>
      </w:pPr>
      <w:r>
        <w:rPr>
          <w:rFonts w:ascii="Arial" w:hAnsi="Arial" w:eastAsia="Arial" w:cs="Arial"/>
          <w:color w:val="000000"/>
          <w:sz w:val="20"/>
          <w:szCs w:val="20"/>
        </w:rPr>
        <w:t xml:space="preserve">Absaug- oder mechanische Lüftungsanlagen oder Absauggeräte zur
Abführung von gesundheitsgefährdenden Arbeitsstoffen sind gem
§ 32 Abs 2 GKV zumindest einmal im Kalenderjahr
wiederkehrenden Überprüfungen auf ihren ordnungsgemäßen Zustand zu
unterziehen, wobei der Abstand zwischen derartigen Prüfungen
höchstens 15 Monate betragen darf.</w:t>
      </w:r>
    </w:p>
    <w:p>
      <w:pPr>
        <w:widowControl w:val="on"/>
        <w:pBdr/>
        <w:spacing w:before="140" w:after="240" w:line="288" w:lineRule="auto"/>
        <w:ind w:left="0" w:right="0"/>
        <w:jc w:val="left"/>
      </w:pPr>
      <w:r>
        <w:rPr>
          <w:rFonts w:ascii="Arial" w:hAnsi="Arial" w:eastAsia="Arial" w:cs="Arial"/>
          <w:color w:val="000000"/>
          <w:sz w:val="20"/>
          <w:szCs w:val="20"/>
        </w:rPr>
        <w:t xml:space="preserve">Die entsprechende Bestimmung der GKV lautet:</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GKV § 32 Messungen – Prüfungen</w:t>
      </w:r>
    </w:p>
    <w:p>
      <w:pPr>
        <w:widowControl w:val="on"/>
        <w:pBdr/>
        <w:spacing w:before="140" w:after="240" w:line="288" w:lineRule="auto"/>
        <w:ind w:left="0" w:right="0"/>
        <w:jc w:val="left"/>
      </w:pPr>
      <w:r>
        <w:rPr>
          <w:rFonts w:ascii="Arial" w:hAnsi="Arial" w:eastAsia="Arial" w:cs="Arial"/>
          <w:i/>
          <w:iCs/>
          <w:color w:val="000000"/>
          <w:sz w:val="20"/>
          <w:szCs w:val="20"/>
        </w:rPr>
        <w:t xml:space="preserve">§ 32 (2) Absaug- oder mechanische Lüftungsanlagen oder
Absauggeräte … sind mindestens einmal im Kalenderjahr, jedoch
längstens im Abstand von 15 Monaten, auf ihren ordnungsgemäßen
Zustand zu überprüfen.</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Zulässiges Prüforgan</w:t>
      </w:r>
    </w:p>
    <w:p>
      <w:pPr>
        <w:widowControl w:val="on"/>
        <w:pBdr/>
        <w:spacing w:before="140" w:after="240" w:line="288" w:lineRule="auto"/>
        <w:ind w:left="0" w:right="0"/>
        <w:jc w:val="left"/>
      </w:pPr>
      <w:r>
        <w:rPr>
          <w:rFonts w:ascii="Arial" w:hAnsi="Arial" w:eastAsia="Arial" w:cs="Arial"/>
          <w:color w:val="000000"/>
          <w:sz w:val="20"/>
          <w:szCs w:val="20"/>
        </w:rPr>
        <w:t xml:space="preserve">Der Personenkreis, der die nach § 32 Abs 1 GKV
erforderliche Prüfung vor der erstmaligen Inbetriebnahme, die nach
Abs 2 vorzunehmenden wiederkehrenden Prüfungen und die gem
Abs 3 dieser Bestimmung vorgeschriebenen Prüfungen nach
Änderungen, Erweiterungen oder Umgestaltungen durchführen darf, ist
in § 32 Abs 5 GKV mit „geeignete, fachkundige und
berechtigte Personen“ bezeichnet. Als solche gelten nach dieser
Bestimmung befugte Gewerbetreibende, akkreditierte Prüf- und
Überwachungsstellen, Ziviltechniker/innen, Technische Büros –
Ingenieurbüros, aber auch qualifizierte Betriebsangehörige. Die
Prüfungen sind nach den Regeln der Technik durchzuführen.</w:t>
      </w:r>
    </w:p>
    <w:p>
      <w:pPr>
        <w:widowControl w:val="on"/>
        <w:pBdr/>
        <w:spacing w:before="140" w:after="240" w:line="288" w:lineRule="auto"/>
        <w:ind w:left="0" w:right="0"/>
        <w:jc w:val="left"/>
      </w:pPr>
      <w:r>
        <w:rPr>
          <w:rFonts w:ascii="Arial" w:hAnsi="Arial" w:eastAsia="Arial" w:cs="Arial"/>
          <w:color w:val="000000"/>
          <w:sz w:val="20"/>
          <w:szCs w:val="20"/>
        </w:rPr>
        <w:t xml:space="preserve">Die diesbezügliche Bestimmung der GKV lautet:</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GKV § 32 Messungen – Prüfungen</w:t>
      </w:r>
    </w:p>
    <w:p>
      <w:pPr>
        <w:widowControl w:val="on"/>
        <w:pBdr/>
        <w:spacing w:before="140" w:after="240" w:line="288" w:lineRule="auto"/>
        <w:ind w:left="0" w:right="0"/>
        <w:jc w:val="left"/>
      </w:pPr>
      <w:r>
        <w:rPr>
          <w:rFonts w:ascii="Arial" w:hAnsi="Arial" w:eastAsia="Arial" w:cs="Arial"/>
          <w:i/>
          <w:iCs/>
          <w:color w:val="000000"/>
          <w:sz w:val="20"/>
          <w:szCs w:val="20"/>
        </w:rPr>
        <w:t xml:space="preserve">§ 32 (5) Die Prüfungen müssen von geeigneten,
fachkundigen und hiezu berechtigten Personen (zB befugte
Gewerbetreibende, akkreditierte Prüf- und Überwachungsstellen,
Ziviltechniker/innen, Technische Büros – Ingenieurbüros,
qualifizierte Betriebsangehörige) nach den Regeln der Technik
durchgeführt werden.</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Aufzeichnungen</w:t>
      </w:r>
    </w:p>
    <w:p>
      <w:pPr>
        <w:widowControl w:val="on"/>
        <w:pBdr/>
        <w:spacing w:before="140" w:after="240" w:line="288" w:lineRule="auto"/>
        <w:ind w:left="0" w:right="0"/>
        <w:jc w:val="left"/>
      </w:pPr>
      <w:r>
        <w:rPr>
          <w:rFonts w:ascii="Arial" w:hAnsi="Arial" w:eastAsia="Arial" w:cs="Arial"/>
          <w:color w:val="000000"/>
          <w:sz w:val="20"/>
          <w:szCs w:val="20"/>
        </w:rPr>
        <w:t xml:space="preserve">Für sämtliche durchgeführten Messungen und Prüfungen besteht gem
§ 31 Abs 3 sowie § 32 Abs 4 GKV die
Verpflichtung, Aufzeichnungen zu führen, aus denen die
Repräsentativität sowie der Umfang und das Ergebnis der Messungen
bzw Prüfungen eindeutig und nachvollziehbar hervorzugehen hat.</w:t>
      </w:r>
    </w:p>
    <w:p>
      <w:pPr>
        <w:widowControl w:val="on"/>
        <w:pBdr/>
        <w:spacing w:before="140" w:after="240" w:line="288" w:lineRule="auto"/>
        <w:ind w:left="0" w:right="0"/>
        <w:jc w:val="left"/>
      </w:pPr>
      <w:r>
        <w:rPr>
          <w:rFonts w:ascii="Arial" w:hAnsi="Arial" w:eastAsia="Arial" w:cs="Arial"/>
          <w:color w:val="000000"/>
          <w:sz w:val="20"/>
          <w:szCs w:val="20"/>
        </w:rPr>
        <w:t xml:space="preserve">Die GKV enthält keine Bestimmungen darüber, über welchen
Zeitraum und wo die Aufzeichnungen aufzubewahren sind. In Anlehnung
an die Vorschriften der Arbeitsmittelverordnung (AM-VO) empfiehlt
es sich, die Prüfbefunde und Messergebnisse bis zum Ausscheiden der
Absaugeinrichtung oder Lüftungsanlage aufzubewahren (§ 11
Abs 3 AM-VO). Prüfbefunde der letzten wiederkehrenden Prüfung
sollten jedenfalls am Einsatzort verfügbar sein, um sie
Behördenorganen jederzeit vorweisen zu können. Der Verweis auf
§ 5 des ArbeitnehmerInnenschutzgesetzes (ASchG) in den
Bestimmungen des § 31 Abs 3 und § 32 Abs 4 GKV
bezieht sich auf die Verpflichtung, die Prüf- und Messergebnisse
den (arbeitsplatzbezogen) zu erstellenden Sicherheits- und
Gesundheitsschutzdokumenten zugrunde zu legen.</w:t>
      </w:r>
    </w:p>
    <w:p>
      <w:pPr>
        <w:widowControl w:val="on"/>
        <w:pBdr/>
        <w:spacing w:before="140" w:after="240" w:line="288" w:lineRule="auto"/>
        <w:ind w:left="0" w:right="0"/>
        <w:jc w:val="left"/>
      </w:pPr>
      <w:r>
        <w:rPr>
          <w:rFonts w:ascii="Arial" w:hAnsi="Arial" w:eastAsia="Arial" w:cs="Arial"/>
          <w:color w:val="000000"/>
          <w:sz w:val="20"/>
          <w:szCs w:val="20"/>
        </w:rPr>
        <w:t xml:space="preserve">Die entsprechenden Bestimmungen der GKV, des ASchG und der AM-VO
lauten:</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GKV § 31 Messungen – Gemeinsame Bestimmungen</w:t>
      </w:r>
    </w:p>
    <w:p>
      <w:pPr>
        <w:widowControl w:val="on"/>
        <w:pBdr/>
        <w:spacing w:before="140" w:after="240" w:line="288" w:lineRule="auto"/>
        <w:ind w:left="0" w:right="0"/>
        <w:jc w:val="left"/>
      </w:pPr>
      <w:r>
        <w:rPr>
          <w:rFonts w:ascii="Arial" w:hAnsi="Arial" w:eastAsia="Arial" w:cs="Arial"/>
          <w:i/>
          <w:iCs/>
          <w:color w:val="000000"/>
          <w:sz w:val="20"/>
          <w:szCs w:val="20"/>
        </w:rPr>
        <w:t xml:space="preserve">§ 31 (3) Messungen und Bewertungen sind so zu
dokumentieren (§ 5 ASchG), dass Repräsentativität, Umfang und
Ergebnisse der Messungen und Bewertungen eindeutig und
nachvollziehbar sind.</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GKV § 32 Messungen – Prüfungen</w:t>
      </w:r>
    </w:p>
    <w:p>
      <w:pPr>
        <w:widowControl w:val="on"/>
        <w:pBdr/>
        <w:spacing w:before="140" w:after="240" w:line="288" w:lineRule="auto"/>
        <w:ind w:left="0" w:right="0"/>
        <w:jc w:val="left"/>
      </w:pPr>
      <w:r>
        <w:rPr>
          <w:rFonts w:ascii="Arial" w:hAnsi="Arial" w:eastAsia="Arial" w:cs="Arial"/>
          <w:i/>
          <w:iCs/>
          <w:color w:val="000000"/>
          <w:sz w:val="20"/>
          <w:szCs w:val="20"/>
        </w:rPr>
        <w:t xml:space="preserve">§ 32 (4) Prüfungen sind so zu dokumentieren (§ 5
ASchG), dass Umfang und Ergebnisse der Prüfungen eindeutig und
nachvollziehbar sind.</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ASchG § 5 Sicherheits- und Gesundheitsschutzdokumente</w:t>
      </w:r>
    </w:p>
    <w:p>
      <w:pPr>
        <w:widowControl w:val="on"/>
        <w:pBdr/>
        <w:spacing w:before="140" w:after="240" w:line="288" w:lineRule="auto"/>
        <w:ind w:left="0" w:right="0"/>
        <w:jc w:val="left"/>
      </w:pPr>
      <w:r>
        <w:rPr>
          <w:rFonts w:ascii="Arial" w:hAnsi="Arial" w:eastAsia="Arial" w:cs="Arial"/>
          <w:i/>
          <w:iCs/>
          <w:color w:val="000000"/>
          <w:sz w:val="20"/>
          <w:szCs w:val="20"/>
        </w:rPr>
        <w:t xml:space="preserve">§ 5 Arbeitgeber sind verpflichtet, in einer der Anzahl
der Beschäftigten und den Gefahren entsprechenden Weise die
Ergebnisse der Ermittlung und Beurteilung der Gefahren sowie die
durchzuführenden Maßnahmen zur Gefahrenverhütung schriftlich
festzuhalten (Sicherheits- und Gesundheitsschutzdokumente). Soweit
dies aus Gründen der Gefahrenverhütung erforderlich ist, ist diese
Dokumentation arbeitsplatzbezogen vorzunehmen.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AM-VO § 11 Prüfbefund, Prüfplan</w:t>
      </w:r>
    </w:p>
    <w:p>
      <w:pPr>
        <w:widowControl w:val="on"/>
        <w:pBdr/>
        <w:spacing w:before="140" w:after="240" w:line="288" w:lineRule="auto"/>
        <w:ind w:left="0" w:right="0"/>
        <w:jc w:val="left"/>
      </w:pPr>
      <w:r>
        <w:rPr>
          <w:rFonts w:ascii="Arial" w:hAnsi="Arial" w:eastAsia="Arial" w:cs="Arial"/>
          <w:i/>
          <w:iCs/>
          <w:color w:val="000000"/>
          <w:sz w:val="20"/>
          <w:szCs w:val="20"/>
        </w:rPr>
        <w:t xml:space="preserve">§ 11 (3) Die Prüfbefunde sind von den Arbeitgeber/innen
bis zum Ausscheiden des Arbeitsmittels aufzubewahren. Am Einsatzort
des Arbeitsmittels müssen Prüfbefunde oder Kopien über die letzte
Abnahmeprüfung, über die wiederkehrenden Prüfungen und über die
Prüfungen nach Aufstellung vorhanden sein.</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Wartung, Instandhaltung</w:t>
      </w:r>
    </w:p>
    <w:p>
      <w:pPr>
        <w:widowControl w:val="on"/>
        <w:pBdr/>
        <w:spacing w:before="140" w:after="240" w:line="288" w:lineRule="auto"/>
        <w:ind w:left="0" w:right="0"/>
        <w:jc w:val="left"/>
      </w:pPr>
      <w:r>
        <w:rPr>
          <w:rFonts w:ascii="Arial" w:hAnsi="Arial" w:eastAsia="Arial" w:cs="Arial"/>
          <w:color w:val="000000"/>
          <w:sz w:val="20"/>
          <w:szCs w:val="20"/>
        </w:rPr>
        <w:t xml:space="preserve">Die GKV legt für Betriebseinrichtungen in Arbeitsstätten keine
verpflichtende Wartung und Instandhaltung fest. Im Sinne der
allgemeinen Verpflichtung des § 38 Abs 1 und § 17
Abs 1 ASchG Arbeitsmittel derart nach den Angaben des
Herstellers oder Inverkehrbringers zu warten und instand zu halten,
dass sie den Rechtsvorschriften entsprechen, ist zu empfehlen,
Wartungen und Instandhaltungen der Absaugeinrichtung in
regelmäßigen Abständen vorzunehmen und auch hierüber
Aufzeichnungen, zB in Form eines Wartungsbuches, zu führen.</w:t>
      </w:r>
    </w:p>
    <w:p>
      <w:pPr>
        <w:widowControl w:val="on"/>
        <w:pBdr/>
        <w:spacing w:before="140" w:after="240" w:line="288" w:lineRule="auto"/>
        <w:ind w:left="0" w:right="0"/>
        <w:jc w:val="left"/>
      </w:pPr>
      <w:r>
        <w:rPr>
          <w:rFonts w:ascii="Arial" w:hAnsi="Arial" w:eastAsia="Arial" w:cs="Arial"/>
          <w:color w:val="000000"/>
          <w:sz w:val="20"/>
          <w:szCs w:val="20"/>
        </w:rPr>
        <w:t xml:space="preserve">Die entsprechenden Bestimmungen des ASchG lauten:</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ASchG § 38 Wartung von Arbeitsmitteln</w:t>
      </w:r>
    </w:p>
    <w:p>
      <w:pPr>
        <w:widowControl w:val="on"/>
        <w:pBdr/>
        <w:spacing w:before="140" w:after="240" w:line="288" w:lineRule="auto"/>
        <w:ind w:left="0" w:right="0"/>
        <w:jc w:val="left"/>
      </w:pPr>
      <w:r>
        <w:rPr>
          <w:rFonts w:ascii="Arial" w:hAnsi="Arial" w:eastAsia="Arial" w:cs="Arial"/>
          <w:i/>
          <w:iCs/>
          <w:color w:val="000000"/>
          <w:sz w:val="20"/>
          <w:szCs w:val="20"/>
        </w:rPr>
        <w:t xml:space="preserve">§ 38 (1) Arbeitgeber haben dafür zu sorgen, daß
Arbeitsmittel während der gesamten Dauer der Benutzung durch
entsprechende Wartung in einem Zustand gehalten werden, der den für
sie geltenden Rechtsvorschriften entspricht. Bei der Wartung sind
die Anleitungen der Hersteller oder Inverkehrbringer zu
berücksichtigen.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ASchG § 17 Instandhaltung, Reinigung, Prüfung</w:t>
      </w:r>
    </w:p>
    <w:p>
      <w:pPr>
        <w:widowControl w:val="on"/>
        <w:pBdr/>
        <w:spacing w:before="140" w:after="240" w:line="288" w:lineRule="auto"/>
        <w:ind w:left="0" w:right="0"/>
        <w:jc w:val="left"/>
      </w:pPr>
      <w:r>
        <w:rPr>
          <w:rFonts w:ascii="Arial" w:hAnsi="Arial" w:eastAsia="Arial" w:cs="Arial"/>
          <w:i/>
          <w:iCs/>
          <w:color w:val="000000"/>
          <w:sz w:val="20"/>
          <w:szCs w:val="20"/>
        </w:rPr>
        <w:t xml:space="preserve">§ 17 (1) Arbeitgeber haben dafür zu sorgen, daß …, die
elektrischen Anlagen, Arbeitsmittel … ordnungsgemäß instand
gehalten und gereinigt werden.</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Übergangsbestimmungen</w:t>
      </w:r>
    </w:p>
    <w:p>
      <w:pPr>
        <w:widowControl w:val="on"/>
        <w:pBdr/>
        <w:spacing w:before="140" w:after="240" w:line="288" w:lineRule="auto"/>
        <w:ind w:left="0" w:right="0"/>
        <w:jc w:val="left"/>
      </w:pPr>
      <w:r>
        <w:rPr>
          <w:rFonts w:ascii="Arial" w:hAnsi="Arial" w:eastAsia="Arial" w:cs="Arial"/>
          <w:color w:val="000000"/>
          <w:sz w:val="20"/>
          <w:szCs w:val="20"/>
        </w:rPr>
        <w:t xml:space="preserve">Die Übergangsbestimmungen des § 34 Abs 1 GKV legen
fest, dass die in bestehenden Bescheiden für die Genehmigung und
den Betrieb von Absauganlagen enthaltenen Auflagen betreffend
Messungen unberührt bleiben.</w:t>
      </w:r>
    </w:p>
    <w:p>
      <w:pPr>
        <w:widowControl w:val="on"/>
        <w:pBdr/>
        <w:spacing w:before="140" w:after="240" w:line="288" w:lineRule="auto"/>
        <w:ind w:left="0" w:right="0"/>
        <w:jc w:val="left"/>
      </w:pPr>
      <w:r>
        <w:rPr>
          <w:rFonts w:ascii="Arial" w:hAnsi="Arial" w:eastAsia="Arial" w:cs="Arial"/>
          <w:color w:val="000000"/>
          <w:sz w:val="20"/>
          <w:szCs w:val="20"/>
        </w:rPr>
        <w:t xml:space="preserve">Die entsprechende Bestimmung der GKV lautet:</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GKV § 33 Übergangsbestimmungen</w:t>
      </w:r>
    </w:p>
    <w:p>
      <w:pPr>
        <w:widowControl w:val="on"/>
        <w:pBdr/>
        <w:spacing w:before="140" w:after="240" w:line="288" w:lineRule="auto"/>
        <w:ind w:left="0" w:right="0"/>
        <w:jc w:val="left"/>
      </w:pPr>
      <w:r>
        <w:rPr>
          <w:rFonts w:ascii="Arial" w:hAnsi="Arial" w:eastAsia="Arial" w:cs="Arial"/>
          <w:i/>
          <w:iCs/>
          <w:color w:val="000000"/>
          <w:sz w:val="20"/>
          <w:szCs w:val="20"/>
        </w:rPr>
        <w:t xml:space="preserve">§ 33 (1) Bescheidmäßige Vorschreibungen über Messungen
bleiben unberührt</w:t>
      </w:r>
    </w:p>
    <w:p>
      <w:pPr>
        <w:widowControl w:val="on"/>
        <w:pBdr/>
        <w:spacing w:before="140" w:after="240" w:line="288" w:lineRule="auto"/>
        <w:ind w:left="0" w:right="0"/>
        <w:jc w:val="left"/>
      </w:pPr>
      <w:r>
        <w:rPr>
          <w:rFonts w:ascii="Arial" w:hAnsi="Arial" w:eastAsia="Arial" w:cs="Arial"/>
          <w:i/>
          <w:iCs/>
          <w:color w:val="000000"/>
          <w:sz w:val="20"/>
          <w:szCs w:val="20"/>
        </w:rPr>
        <w:t xml:space="preserve">…</w:t>
      </w:r>
    </w:p>
    <w:p>
      <w:r>
        <w:pict>
          <v:rect id="_x0000_i1026" style="width:0;height:1.5pt" o:hralign="center" o:hrstd="t" o:hr="t" o:hrnoshade="t" fillcolor="#a0a0a0" stroked="f"/>
        </w:pict>
      </w:r>
    </w:p>
    <w:p>
      <w:pPr>
        <w:widowControl w:val="on"/>
        <w:pBdr/>
        <w:spacing w:before="0" w:after="105" w:line="288" w:lineRule="auto"/>
        <w:ind w:left="0" w:right="0"/>
        <w:jc w:val="left"/>
      </w:pPr>
      <w:r>
        <w:rPr>
          <w:rFonts w:ascii="Arial" w:hAnsi="Arial" w:eastAsia="Arial" w:cs="Arial"/>
          <w:b/>
          <w:bCs/>
          <w:color w:val="277DB9"/>
          <w:sz w:val="25"/>
          <w:szCs w:val="25"/>
        </w:rPr>
        <w:t xml:space="preserve">Hinweis:</w:t>
      </w:r>
    </w:p>
    <w:p>
      <w:pPr>
        <w:widowControl w:val="on"/>
        <w:pBdr/>
        <w:spacing w:before="140" w:after="240" w:line="288" w:lineRule="auto"/>
        <w:ind w:left="0" w:right="0"/>
        <w:jc w:val="left"/>
      </w:pPr>
      <w:r>
        <w:rPr>
          <w:rFonts w:ascii="Arial" w:hAnsi="Arial" w:eastAsia="Arial" w:cs="Arial"/>
          <w:color w:val="277DB9"/>
          <w:sz w:val="20"/>
          <w:szCs w:val="20"/>
        </w:rPr>
        <w:t xml:space="preserve">Für die erforderlichen Messungen der Arbeitsplatzkonzentration
von Gasen, Dämpfen oder Schwebstaub bei nicht auszuschließender
Überschreitung von Grenzwerten (MAK- bzw TRK-Werten) s Prüfblatt
„Arbeitsplätze – Überwachung gefährlicher Arbeitsstoffe“.</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949914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5681579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6333902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9731850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7929224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3510018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8239696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4433758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8114450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0672169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3867477">
    <w:multiLevelType w:val="hybridMultilevel"/>
    <w:lvl w:ilvl="0" w:tplc="47648469">
      <w:start w:val="1"/>
      <w:numFmt w:val="decimal"/>
      <w:lvlText w:val="%1."/>
      <w:lvlJc w:val="left"/>
      <w:pPr>
        <w:ind w:left="720" w:hanging="360"/>
      </w:pPr>
    </w:lvl>
    <w:lvl w:ilvl="1" w:tplc="47648469" w:tentative="1">
      <w:start w:val="1"/>
      <w:numFmt w:val="lowerLetter"/>
      <w:lvlText w:val="%2."/>
      <w:lvlJc w:val="left"/>
      <w:pPr>
        <w:ind w:left="1440" w:hanging="360"/>
      </w:pPr>
    </w:lvl>
    <w:lvl w:ilvl="2" w:tplc="47648469" w:tentative="1">
      <w:start w:val="1"/>
      <w:numFmt w:val="lowerRoman"/>
      <w:lvlText w:val="%3."/>
      <w:lvlJc w:val="right"/>
      <w:pPr>
        <w:ind w:left="2160" w:hanging="180"/>
      </w:pPr>
    </w:lvl>
    <w:lvl w:ilvl="3" w:tplc="47648469" w:tentative="1">
      <w:start w:val="1"/>
      <w:numFmt w:val="decimal"/>
      <w:lvlText w:val="%4."/>
      <w:lvlJc w:val="left"/>
      <w:pPr>
        <w:ind w:left="2880" w:hanging="360"/>
      </w:pPr>
    </w:lvl>
    <w:lvl w:ilvl="4" w:tplc="47648469" w:tentative="1">
      <w:start w:val="1"/>
      <w:numFmt w:val="lowerLetter"/>
      <w:lvlText w:val="%5."/>
      <w:lvlJc w:val="left"/>
      <w:pPr>
        <w:ind w:left="3600" w:hanging="360"/>
      </w:pPr>
    </w:lvl>
    <w:lvl w:ilvl="5" w:tplc="47648469" w:tentative="1">
      <w:start w:val="1"/>
      <w:numFmt w:val="lowerRoman"/>
      <w:lvlText w:val="%6."/>
      <w:lvlJc w:val="right"/>
      <w:pPr>
        <w:ind w:left="4320" w:hanging="180"/>
      </w:pPr>
    </w:lvl>
    <w:lvl w:ilvl="6" w:tplc="47648469" w:tentative="1">
      <w:start w:val="1"/>
      <w:numFmt w:val="decimal"/>
      <w:lvlText w:val="%7."/>
      <w:lvlJc w:val="left"/>
      <w:pPr>
        <w:ind w:left="5040" w:hanging="360"/>
      </w:pPr>
    </w:lvl>
    <w:lvl w:ilvl="7" w:tplc="47648469" w:tentative="1">
      <w:start w:val="1"/>
      <w:numFmt w:val="lowerLetter"/>
      <w:lvlText w:val="%8."/>
      <w:lvlJc w:val="left"/>
      <w:pPr>
        <w:ind w:left="5760" w:hanging="360"/>
      </w:pPr>
    </w:lvl>
    <w:lvl w:ilvl="8" w:tplc="47648469" w:tentative="1">
      <w:start w:val="1"/>
      <w:numFmt w:val="lowerRoman"/>
      <w:lvlText w:val="%9."/>
      <w:lvlJc w:val="right"/>
      <w:pPr>
        <w:ind w:left="6480" w:hanging="180"/>
      </w:pPr>
    </w:lvl>
  </w:abstractNum>
  <w:abstractNum w:abstractNumId="63867476">
    <w:multiLevelType w:val="hybridMultilevel"/>
    <w:lvl w:ilvl="0" w:tplc="577669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867476">
    <w:abstractNumId w:val="63867476"/>
  </w:num>
  <w:num w:numId="63867477">
    <w:abstractNumId w:val="63867477"/>
  </w:num>
  <w:num w:numId="306721690">
    <w:abstractNumId w:val="306721690"/>
  </w:num>
  <w:num w:numId="881144506">
    <w:abstractNumId w:val="881144506"/>
  </w:num>
  <w:num w:numId="744337587">
    <w:abstractNumId w:val="744337587"/>
  </w:num>
  <w:num w:numId="682396963">
    <w:abstractNumId w:val="682396963"/>
  </w:num>
  <w:num w:numId="635100181">
    <w:abstractNumId w:val="635100181"/>
  </w:num>
  <w:num w:numId="779292241">
    <w:abstractNumId w:val="779292241"/>
  </w:num>
  <w:num w:numId="697318506">
    <w:abstractNumId w:val="697318506"/>
  </w:num>
  <w:num w:numId="663339021">
    <w:abstractNumId w:val="663339021"/>
  </w:num>
  <w:num w:numId="356815792">
    <w:abstractNumId w:val="356815792"/>
  </w:num>
  <w:num w:numId="629499140">
    <w:abstractNumId w:val="6294991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407283582" Type="http://schemas.openxmlformats.org/officeDocument/2006/relationships/numbering" Target="numbering.xml"/><Relationship Id="rId671082963"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