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1598378" w:name="document"/>
    <w:bookmarkEnd w:id="2159837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812088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Hebeeinrichtungen für Personen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Aufzug (Hebezug) zur Personenbeförderung mit einer
Fahrgeschwindigkeit von lediglich bis zu 0,15 m/s.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dem Einbau in Gebäude oder Bauwerke
oder vor der Vornahme wesentlicher Änderungen im Rahmen eines
Umbaus oder einer Modernisierung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27982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Austausch der für den Einbau/die Änderung wesentlichen Angaben
zwischen Verantwortlichem für den Bau und Montagebetrieb</w:t>
            </w:r>
          </w:p>
          <w:p>
            <w:pPr>
              <w:numPr>
                <w:ilvl w:val="0"/>
                <w:numId w:val="127982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Maßnahmen für den einwandfreien Betrieb und die gefahrlose
Nutzung der einzubauenden Hebeeinrichtung</w:t>
            </w:r>
          </w:p>
          <w:p>
            <w:pPr>
              <w:numPr>
                <w:ilvl w:val="0"/>
                <w:numId w:val="127982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 Leitungsverlegung</w:t>
            </w:r>
          </w:p>
          <w:p>
            <w:pPr>
              <w:numPr>
                <w:ilvl w:val="0"/>
                <w:numId w:val="127982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Erfüllung der Inverkehrsetzungs- und
Inbetriebnahmebestimmungen</w:t>
            </w:r>
          </w:p>
          <w:p>
            <w:pPr>
              <w:numPr>
                <w:ilvl w:val="0"/>
                <w:numId w:val="127982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Vorliegen von Gutachten und behördlicher Genehmigung bei
verringerten Schutzräumen jenseits der Endstellungen des
Fahrkorbs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2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789748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9789748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1 iVm § 15 Abs 1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Inbetriebnahme der Hebeeinrichtung
nach dem Einbau, nach einem Umbau oder einer Modernisierung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Unterlagen des Inverkehrbringens und der Inbetriebnahme auf
Stand der Technik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Schutzfunktionen bei bestimmungsgemäßer Benutzung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Brandschutz-, Schallschutz-Anforderungen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Zugänglichkeit für Personen, ggf Behinderte od Personen mit
eingeschränkter Mobilität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Barrierefreiheit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Vorkehrungen für Notbefreiung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Festigkeit des Bauwerks/Gebäudes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Energieeffizienz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Freiheit des Schachts von Fremdleitungen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CE-Kennzeichnung, Konformitätsbescheinigung (bei Umbau)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Betriebsanleitung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Anweisung über Befreiung von Personen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Gutachten, behördliche Entscheidungen bei verringerten
Schutzräumen jenseits der Endstellungen des Fahrkorbs</w:t>
            </w:r>
          </w:p>
          <w:p>
            <w:pPr>
              <w:numPr>
                <w:ilvl w:val="0"/>
                <w:numId w:val="1336986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Eignung des Fernüberwachungssystems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2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3489398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93489398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(Anm: grundsätzlich jenes Prüforgan, das die Vorprüfung
vorgenommen hat)</w:t>
            </w:r>
          </w:p>
          <w:p>
            <w:pPr>
              <w:numPr>
                <w:ilvl w:val="0"/>
                <w:numId w:val="35524187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1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163381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jährlich, jedoch längstens innerhalb von 15
Monaten</w:t>
            </w:r>
          </w:p>
          <w:p>
            <w:pPr>
              <w:numPr>
                <w:ilvl w:val="0"/>
                <w:numId w:val="3163381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5 Jahre für 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3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313724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Betriebssicherheit</w:t>
            </w:r>
          </w:p>
          <w:p>
            <w:pPr>
              <w:numPr>
                <w:ilvl w:val="0"/>
                <w:numId w:val="9313724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Eignung des Fernüberwachungssystems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2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749299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5749299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numPr>
                <w:ilvl w:val="0"/>
                <w:numId w:val="5749299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1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Außerordentliche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  <w:p>
            <w:pPr>
              <w:numPr>
                <w:ilvl w:val="0"/>
                <w:numId w:val="29350670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 Anordnung der Behörde aus Gründen der Sicherheit von
Personen</w:t>
            </w:r>
          </w:p>
          <w:p>
            <w:pPr>
              <w:numPr>
                <w:ilvl w:val="0"/>
                <w:numId w:val="29350670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Fernüberwachungssystem nach Änderungen der technischen
Einrichtungen des 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5 Abs 1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371870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4371870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numPr>
                <w:ilvl w:val="0"/>
                <w:numId w:val="4371870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5 Abs 3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12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Sinngemäß:</w:t>
            </w:r>
          </w:p>
          <w:p>
            <w:pPr>
              <w:numPr>
                <w:ilvl w:val="0"/>
                <w:numId w:val="7627674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Prüfungen (Kontrollen):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Betriebskontrollen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 jedem Betriebstag, sowie zusätzlich je nach Bau-, Einbau- und
Ausstattungsart der Hebeeinrichtung mindestens in wöchentlichen
oder vierteljährlichen Abständen: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Bauartvoraussetzungen für wöchentliche Betriebskontrollen:</w:t>
            </w:r>
          </w:p>
          <w:p>
            <w:pPr>
              <w:numPr>
                <w:ilvl w:val="0"/>
                <w:numId w:val="6099552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Ausstattung des Lastträgers mit Tür, Lichtschranke, Lichtgitter
od beweglicher Schwelle an jeder Lastträgeröffnung</w:t>
            </w:r>
          </w:p>
          <w:p>
            <w:pPr>
              <w:numPr>
                <w:ilvl w:val="0"/>
                <w:numId w:val="6099552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Fehlschließsicherungen an allen Schachttürverriegelungen</w:t>
            </w:r>
          </w:p>
          <w:p>
            <w:pPr>
              <w:numPr>
                <w:ilvl w:val="0"/>
                <w:numId w:val="6099552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Durchgehende Umwehrung längs der Bahn jeder Lastträgeröffnung
od Lastträger mit Türen mit Lastträgertürverriegelungen
(Fahrkorbtürverriegelungen) mit Fehlschließsicherung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Bauartvoraussetzungen für vierteljährliche
Betriebskontrollen:</w:t>
            </w:r>
          </w:p>
          <w:p>
            <w:pPr>
              <w:numPr>
                <w:ilvl w:val="0"/>
                <w:numId w:val="6048918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Türen (Fahrkorbtüre, Lastträgertüre) an allen
Lastträgeröffnungen</w:t>
            </w:r>
          </w:p>
          <w:p>
            <w:pPr>
              <w:numPr>
                <w:ilvl w:val="0"/>
                <w:numId w:val="6048918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Fehlschließsicherungen an allen Schachttürverriegelungen</w:t>
            </w:r>
          </w:p>
          <w:p>
            <w:pPr>
              <w:numPr>
                <w:ilvl w:val="0"/>
                <w:numId w:val="6048918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Massive Schächte</w:t>
            </w:r>
          </w:p>
          <w:p>
            <w:pPr>
              <w:numPr>
                <w:ilvl w:val="0"/>
                <w:numId w:val="6048918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Lastträgerwände und Lastträgerdecken, Lastträgertüren und
Schachttüren aus unzerbrechlichen Materialien bzw Glaselemente
entsprechend einschlägiger Normen</w:t>
            </w:r>
          </w:p>
          <w:p>
            <w:pPr>
              <w:numPr>
                <w:ilvl w:val="0"/>
                <w:numId w:val="6048918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Erfüllung der Anforderungen an Fernüberwachungssysteme und der
organisatorischen Voraussetzungen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1 iVm Abs 2 oder 3 HBV 2009, BGBl II
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Anfahren des Lastträgers solange eine Schachttüre oder
Türe auf dem Lastträger (Fahrkorbtüre) geöffnet ist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Öffnen einer Schachttür solange sich Lastträger außerhalb
der Entriegelungungszone dieser Türe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Haltegenauigkeit an den Haltestellen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der Notrufeinrichtung/Sprechverbindung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Wirksamkeit des Notbremsschalters bzw der Befehlsgeber zum
Wiederöffnen der Türen bzw der Schutzeinrichtung zum Umsteuern der
Türschließbewegung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der Beleuchtung bei Schachtzugängen und im
Lastträger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der Schachtumwehrung und Schachttüren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des Fußbodens vor den Schachtzugängen und
des Lastträgers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der Schachtwand entlang der Bahn bei
türlosen Lastträgeröffnungen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von beweglichen Schwellen, Lichtschranken oder
Lichtgittern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Lesbarkeit und Aktualität der Benutzerhinweise</w:t>
            </w:r>
          </w:p>
          <w:p>
            <w:pPr>
              <w:numPr>
                <w:ilvl w:val="0"/>
                <w:numId w:val="441653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zusätzliche Kontrollen lt Betriebsanleitung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6 Abs 1 u 6 iVm Abs 7 HBV 2009, BGBl II
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926584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6 Abs 1 iVm § 12 Abs 1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Pflichten: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9331837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Sofortige Außerbetriebnahme der Hebeeinrichtung bei Mängeln
oder Gebrechen, die Personen gefährden</w:t>
            </w:r>
          </w:p>
          <w:p>
            <w:pPr>
              <w:numPr>
                <w:ilvl w:val="0"/>
                <w:numId w:val="69331837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Meldung von Unfälle und außergewöhnlichen Vorfällen an Behörde
und Inspektionsstelle</w:t>
            </w:r>
          </w:p>
          <w:p>
            <w:pPr>
              <w:numPr>
                <w:ilvl w:val="0"/>
                <w:numId w:val="69331837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 und Instandhaltung nach Betriebs- und
Wartungsanleitung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u 3 und § 12 Abs 1 HBV 2009,
BGBl II 210/2009 idF BGBl II 350/2016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 (Gutachten der Inspektionsstelle mit Prüfvermerk auf
den Unterlagen)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 (Gutachten der Inspektionsstelle, Vermerk im
Aufzugsbuch)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Regelmäßige Überprüfungen (Inspektionsbericht/Befund der
Inspektionsstelle, Vermerk im Aufzugsbuch)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Außerordentliche Überprüfung (Inspektionsbericht/Befund der
Inspektionsstelle, Vermerk im Aufzugsbuch)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Bescheinigungen der akkreditierten Prüfstelle über Eignung des
Fernüberwachungssystems</w:t>
            </w:r>
          </w:p>
          <w:p>
            <w:pPr>
              <w:numPr>
                <w:ilvl w:val="0"/>
                <w:numId w:val="50982346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Empfohlen für Betriebskontrollen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3, § 3 Abs 3, § 4 Abs 4, u
§ 5 Abs 3,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ab der Abnahmeprüfung für jede
Hebeeinrichtung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4 HBV 2009, BGBl II 210/2009 idF
BGBl II 350/2016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Hebeanlagen-Betriebsverordnung finden Sie
im 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82346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9331837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9265845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16537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48918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99552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6276740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718700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350670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492997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3137246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63381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524187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3489398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369863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897485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79820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106297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014282">
    <w:multiLevelType w:val="hybridMultilevel"/>
    <w:lvl w:ilvl="0" w:tplc="69497272">
      <w:start w:val="1"/>
      <w:numFmt w:val="decimal"/>
      <w:lvlText w:val="%1."/>
      <w:lvlJc w:val="left"/>
      <w:pPr>
        <w:ind w:left="720" w:hanging="360"/>
      </w:pPr>
    </w:lvl>
    <w:lvl w:ilvl="1" w:tplc="69497272" w:tentative="1">
      <w:start w:val="1"/>
      <w:numFmt w:val="lowerLetter"/>
      <w:lvlText w:val="%2."/>
      <w:lvlJc w:val="left"/>
      <w:pPr>
        <w:ind w:left="1440" w:hanging="360"/>
      </w:pPr>
    </w:lvl>
    <w:lvl w:ilvl="2" w:tplc="69497272" w:tentative="1">
      <w:start w:val="1"/>
      <w:numFmt w:val="lowerRoman"/>
      <w:lvlText w:val="%3."/>
      <w:lvlJc w:val="right"/>
      <w:pPr>
        <w:ind w:left="2160" w:hanging="180"/>
      </w:pPr>
    </w:lvl>
    <w:lvl w:ilvl="3" w:tplc="69497272" w:tentative="1">
      <w:start w:val="1"/>
      <w:numFmt w:val="decimal"/>
      <w:lvlText w:val="%4."/>
      <w:lvlJc w:val="left"/>
      <w:pPr>
        <w:ind w:left="2880" w:hanging="360"/>
      </w:pPr>
    </w:lvl>
    <w:lvl w:ilvl="4" w:tplc="69497272" w:tentative="1">
      <w:start w:val="1"/>
      <w:numFmt w:val="lowerLetter"/>
      <w:lvlText w:val="%5."/>
      <w:lvlJc w:val="left"/>
      <w:pPr>
        <w:ind w:left="3600" w:hanging="360"/>
      </w:pPr>
    </w:lvl>
    <w:lvl w:ilvl="5" w:tplc="69497272" w:tentative="1">
      <w:start w:val="1"/>
      <w:numFmt w:val="lowerRoman"/>
      <w:lvlText w:val="%6."/>
      <w:lvlJc w:val="right"/>
      <w:pPr>
        <w:ind w:left="4320" w:hanging="180"/>
      </w:pPr>
    </w:lvl>
    <w:lvl w:ilvl="6" w:tplc="69497272" w:tentative="1">
      <w:start w:val="1"/>
      <w:numFmt w:val="decimal"/>
      <w:lvlText w:val="%7."/>
      <w:lvlJc w:val="left"/>
      <w:pPr>
        <w:ind w:left="5040" w:hanging="360"/>
      </w:pPr>
    </w:lvl>
    <w:lvl w:ilvl="7" w:tplc="69497272" w:tentative="1">
      <w:start w:val="1"/>
      <w:numFmt w:val="lowerLetter"/>
      <w:lvlText w:val="%8."/>
      <w:lvlJc w:val="left"/>
      <w:pPr>
        <w:ind w:left="5760" w:hanging="360"/>
      </w:pPr>
    </w:lvl>
    <w:lvl w:ilvl="8" w:tplc="69497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014281">
    <w:multiLevelType w:val="hybridMultilevel"/>
    <w:lvl w:ilvl="0" w:tplc="92776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14281">
    <w:abstractNumId w:val="94014281"/>
  </w:num>
  <w:num w:numId="94014282">
    <w:abstractNumId w:val="94014282"/>
  </w:num>
  <w:num w:numId="201062970">
    <w:abstractNumId w:val="201062970"/>
  </w:num>
  <w:num w:numId="127982072">
    <w:abstractNumId w:val="127982072"/>
  </w:num>
  <w:num w:numId="978974858">
    <w:abstractNumId w:val="978974858"/>
  </w:num>
  <w:num w:numId="133698636">
    <w:abstractNumId w:val="133698636"/>
  </w:num>
  <w:num w:numId="934893989">
    <w:abstractNumId w:val="934893989"/>
  </w:num>
  <w:num w:numId="355241878">
    <w:abstractNumId w:val="355241878"/>
  </w:num>
  <w:num w:numId="316338131">
    <w:abstractNumId w:val="316338131"/>
  </w:num>
  <w:num w:numId="931372465">
    <w:abstractNumId w:val="931372465"/>
  </w:num>
  <w:num w:numId="574929975">
    <w:abstractNumId w:val="574929975"/>
  </w:num>
  <w:num w:numId="293506706">
    <w:abstractNumId w:val="293506706"/>
  </w:num>
  <w:num w:numId="437187009">
    <w:abstractNumId w:val="437187009"/>
  </w:num>
  <w:num w:numId="762767409">
    <w:abstractNumId w:val="762767409"/>
  </w:num>
  <w:num w:numId="609955244">
    <w:abstractNumId w:val="609955244"/>
  </w:num>
  <w:num w:numId="604891848">
    <w:abstractNumId w:val="604891848"/>
  </w:num>
  <w:num w:numId="441653731">
    <w:abstractNumId w:val="441653731"/>
  </w:num>
  <w:num w:numId="692658452">
    <w:abstractNumId w:val="692658452"/>
  </w:num>
  <w:num w:numId="693318378">
    <w:abstractNumId w:val="693318378"/>
  </w:num>
  <w:num w:numId="509823468">
    <w:abstractNumId w:val="509823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63269754" Type="http://schemas.openxmlformats.org/officeDocument/2006/relationships/numbering" Target="numbering.xml"/><Relationship Id="rId59982409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