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36354708" w:name="document"/>
    <w:bookmarkEnd w:id="36354708"/>
    <w:p/>
    <w:p>
      <w:pPr>
        <w:widowControl w:val="on"/>
        <w:pBdr/>
        <w:spacing w:before="0" w:after="280" w:line="240" w:lineRule="auto"/>
        <w:ind w:left="0" w:right="0"/>
        <w:jc w:val="left"/>
      </w:pPr>
      <w:r>
        <w:rPr>
          <w:rFonts w:ascii="Arial" w:hAnsi="Arial" w:eastAsia="Arial" w:cs="Arial"/>
          <w:color w:val="363A40"/>
          <w:sz w:val="24"/>
          <w:szCs w:val="24"/>
        </w:rPr>
        <w:t xml:space="preserve">Dokument-ID: 811330 | Gernot Wurm | Muster |
Prüfpflichten</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Winden</w:t>
      </w:r>
    </w:p>
    <w:tbl>
      <w:tblPr>
        <w:tblStyle w:val="NormalTablePHPDOCX"/>
        <w:tblW w:w="8700" w:type="dxa"/>
        <w:tblInd w:w="0" w:type="auto"/>
        <w:tblBorders>
          <w:top w:val="single" w:color="000000" w:sz="2"/>
          <w:left w:val="single" w:color="000000" w:sz="2"/>
          <w:bottom w:val="single" w:color="000000" w:sz="2"/>
          <w:right w:val="single" w:color="000000" w:sz="2"/>
        </w:tblBorders>
      </w:tblPr>
      <w:tblGrid>
        <w:gridCol w:w="3480"/>
        <w:gridCol w:w="5220"/>
      </w:tblGrid>
      <w:tr>
        <w:trPr>
          <w:trHeight w:val="0" w:hRule="atLeast"/>
        </w:trPr>
        <w:tc>
          <w:tcPr>
            <w:tcW w:w="8700" w:type="dxa"/>
            <w:gridSpan w:val="2"/>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77" w:lineRule="auto"/>
              <w:ind w:left="0" w:right="0"/>
              <w:jc w:val="center"/>
              <w:textAlignment w:val="top"/>
            </w:pPr>
            <w:r>
              <w:rPr>
                <w:rFonts w:ascii="Arial" w:hAnsi="Arial" w:eastAsia="Arial" w:cs="Arial"/>
                <w:b/>
                <w:bCs/>
                <w:color w:val="000000"/>
                <w:position w:val="0"/>
                <w:sz w:val="22"/>
                <w:szCs w:val="22"/>
                <w:shd w:val="clear" w:color="auto" w:fill="D9D9D9"/>
              </w:rPr>
              <w:t xml:space="preserve">Notwendige betriebliche Prüfpflichten</w:t>
            </w:r>
          </w:p>
        </w:tc>
      </w:tr>
      <w:tr>
        <w:trPr>
          <w:trHeight w:val="0" w:hRule="atLeast"/>
        </w:trPr>
        <w:tc>
          <w:tcPr>
            <w:tcW w:w="348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Abnahmeprüfung:</w:t>
            </w:r>
          </w:p>
        </w:tc>
        <w:tc>
          <w:tcPr>
            <w:tcW w:w="52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nein</w:t>
            </w:r>
          </w:p>
        </w:tc>
      </w:tr>
      <w:tr>
        <w:trPr>
          <w:trHeight w:val="0" w:hRule="atLeast"/>
        </w:trPr>
        <w:tc>
          <w:tcPr>
            <w:tcW w:w="348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52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348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Zulässiges Prüforgan:</w:t>
            </w:r>
          </w:p>
        </w:tc>
        <w:tc>
          <w:tcPr>
            <w:tcW w:w="52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348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52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348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Wiederkehrende Prüfungen:</w:t>
            </w:r>
          </w:p>
        </w:tc>
        <w:tc>
          <w:tcPr>
            <w:tcW w:w="52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ja</w:t>
            </w:r>
          </w:p>
        </w:tc>
      </w:tr>
      <w:tr>
        <w:trPr>
          <w:trHeight w:val="0" w:hRule="atLeast"/>
        </w:trPr>
        <w:tc>
          <w:tcPr>
            <w:tcW w:w="348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Zeitintervall:</w:t>
            </w:r>
          </w:p>
        </w:tc>
        <w:tc>
          <w:tcPr>
            <w:tcW w:w="52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Mindestens einmal im Kalenderjahr, jedoch längstens im Abstand
von 15 Monaten</w:t>
            </w:r>
          </w:p>
        </w:tc>
      </w:tr>
      <w:tr>
        <w:trPr>
          <w:trHeight w:val="0" w:hRule="atLeast"/>
        </w:trPr>
        <w:tc>
          <w:tcPr>
            <w:tcW w:w="348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52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8 Abs 1 Z 2 AM-VO, BGBl II 164/2000 idF
BGBl II 21/2010</w:t>
            </w:r>
          </w:p>
        </w:tc>
      </w:tr>
      <w:tr>
        <w:trPr>
          <w:trHeight w:val="0" w:hRule="atLeast"/>
        </w:trPr>
        <w:tc>
          <w:tcPr>
            <w:tcW w:w="348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Prüfumfang:</w:t>
            </w:r>
          </w:p>
        </w:tc>
        <w:tc>
          <w:tcPr>
            <w:tcW w:w="52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numPr>
                <w:ilvl w:val="0"/>
                <w:numId w:val="70136193"/>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Verschleißbehaftete Komponenten wie Bremsen, Kupplungen,
Rollen, Räder und Tragmittel</w:t>
            </w:r>
          </w:p>
          <w:p>
            <w:pPr>
              <w:numPr>
                <w:ilvl w:val="0"/>
                <w:numId w:val="70136193"/>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Einstellung sicherheitsrelevanter Bauteile und
Sicherheitseinrichtungen wie Lastkontrolleinrichtungen,
Bewegungsbegrenzungen</w:t>
            </w:r>
          </w:p>
          <w:p>
            <w:pPr>
              <w:numPr>
                <w:ilvl w:val="0"/>
                <w:numId w:val="70136193"/>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Funktion sicherheitsrelevanter Bauteile wie
Schalteinrichtungen, Notausschaltvorrichtungen, Lichtschranken,
Bewegungssensoren, Kontaktleisten, Schaltmatten, Warn- und
Signaleinrichtungen, Verriegelungen</w:t>
            </w:r>
          </w:p>
        </w:tc>
      </w:tr>
      <w:tr>
        <w:trPr>
          <w:trHeight w:val="0" w:hRule="atLeast"/>
        </w:trPr>
        <w:tc>
          <w:tcPr>
            <w:tcW w:w="348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52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8 Abs 2 AM-VO, BGBl II 164/2000 idF
BGBl II 21/2010</w:t>
            </w:r>
          </w:p>
        </w:tc>
      </w:tr>
      <w:tr>
        <w:trPr>
          <w:trHeight w:val="0" w:hRule="atLeast"/>
        </w:trPr>
        <w:tc>
          <w:tcPr>
            <w:tcW w:w="348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Zulässiges Prüforgan:</w:t>
            </w:r>
          </w:p>
        </w:tc>
        <w:tc>
          <w:tcPr>
            <w:tcW w:w="52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numPr>
                <w:ilvl w:val="0"/>
                <w:numId w:val="221403786"/>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ZiviltechnikerInnen einschlägiger Fachgebiete, insbesondere für
Maschinenbau oder Elektrotechnik</w:t>
            </w:r>
          </w:p>
          <w:p>
            <w:pPr>
              <w:numPr>
                <w:ilvl w:val="0"/>
                <w:numId w:val="221403786"/>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Zugelassene Prüfstellen gem § 71 Abs 5 GewO 1994
im Rahmen ihrer Zuständigkeit</w:t>
            </w:r>
          </w:p>
          <w:p>
            <w:pPr>
              <w:numPr>
                <w:ilvl w:val="0"/>
                <w:numId w:val="221403786"/>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Akkreditierte Prüf- und Überwachungsstellen im Rahmen ihrer
Befugnisse</w:t>
            </w:r>
          </w:p>
          <w:p>
            <w:pPr>
              <w:numPr>
                <w:ilvl w:val="0"/>
                <w:numId w:val="221403786"/>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Ingenieurbüros (Beratende IngenieurInnen) einschlägiger
Fachrichtung im Rahmen ihrer Befugnisse</w:t>
            </w:r>
          </w:p>
          <w:p>
            <w:pPr>
              <w:numPr>
                <w:ilvl w:val="0"/>
                <w:numId w:val="221403786"/>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Inspektionsstellen für überwachungsbedürftige Hebeanlagen
gem § 15 Hebeanlagen-Betriebsverordnung (HBV),
BGBl II 210/2009 idF BGBl II 350/2016</w:t>
            </w:r>
          </w:p>
          <w:p>
            <w:pPr>
              <w:numPr>
                <w:ilvl w:val="0"/>
                <w:numId w:val="221403786"/>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Sonstige geeignete fachkundige Personen (auch
Betriebsangehörige)</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Mindestens jedes </w:t>
            </w:r>
            <w:r>
              <w:rPr>
                <w:rFonts w:ascii="Arial" w:hAnsi="Arial" w:eastAsia="Arial" w:cs="Arial"/>
                <w:b/>
                <w:bCs/>
                <w:color w:val="000000"/>
                <w:position w:val="0"/>
                <w:sz w:val="20"/>
                <w:szCs w:val="20"/>
                <w:shd w:val="clear" w:color="auto" w:fill="FFFFFF"/>
              </w:rPr>
              <w:t xml:space="preserve">vierte</w:t>
            </w:r>
            <w:r>
              <w:rPr>
                <w:rFonts w:ascii="Arial" w:hAnsi="Arial" w:eastAsia="Arial" w:cs="Arial"/>
                <w:color w:val="000000"/>
                <w:position w:val="0"/>
                <w:sz w:val="20"/>
                <w:szCs w:val="20"/>
                <w:shd w:val="clear" w:color="auto" w:fill="FFFFFF"/>
              </w:rPr>
              <w:t xml:space="preserve"> Jahr, wenn die
wiederkehrenden Prüfungen durch fachkundige Betriebsangehörige
durchgeführt werden:</w:t>
            </w:r>
          </w:p>
          <w:p>
            <w:pPr>
              <w:numPr>
                <w:ilvl w:val="0"/>
                <w:numId w:val="9338826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ZiviltechnikerInnen einschlägiger Fachgebiete, insbesondere für
Maschinenbau oder Elektrotechnik</w:t>
            </w:r>
          </w:p>
          <w:p>
            <w:pPr>
              <w:numPr>
                <w:ilvl w:val="0"/>
                <w:numId w:val="9338826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Zugelassene Prüfstellen gem § 71 Abs 5 GewO 1994
im Rahmen ihrer Zuständigkeit</w:t>
            </w:r>
          </w:p>
          <w:p>
            <w:pPr>
              <w:numPr>
                <w:ilvl w:val="0"/>
                <w:numId w:val="9338826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Akkreditierte Prüf- und Überwachungsstellen im Rahmen ihrer
Befugnisse</w:t>
            </w:r>
          </w:p>
          <w:p>
            <w:pPr>
              <w:numPr>
                <w:ilvl w:val="0"/>
                <w:numId w:val="9338826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Ingenieurbüros (Beratende IngenieurInnen) einschlägiger
Fachrichtung im Rahmen ihrer Befugnisse</w:t>
            </w:r>
          </w:p>
          <w:p>
            <w:pPr>
              <w:numPr>
                <w:ilvl w:val="0"/>
                <w:numId w:val="9338826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Inspektionsstellen für überwachungsbedürftige Hebeanlagen
gem § 15 Hebeanlagen-Betriebsverordnung (HBV),
BGBl II 210/2009 idF BGBl II 350/2016</w:t>
            </w:r>
          </w:p>
        </w:tc>
      </w:tr>
      <w:tr>
        <w:trPr>
          <w:trHeight w:val="0" w:hRule="atLeast"/>
        </w:trPr>
        <w:tc>
          <w:tcPr>
            <w:tcW w:w="348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52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8 Abs 3 und 4 AM-VO, BGBl II 164/2000 idF
BGBl II 21/2010</w:t>
            </w:r>
          </w:p>
        </w:tc>
      </w:tr>
      <w:tr>
        <w:trPr>
          <w:trHeight w:val="0" w:hRule="atLeast"/>
        </w:trPr>
        <w:tc>
          <w:tcPr>
            <w:tcW w:w="348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Prüfung nach außergewöhnlichen Ereignissen:</w:t>
            </w:r>
          </w:p>
        </w:tc>
        <w:tc>
          <w:tcPr>
            <w:tcW w:w="52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ja</w:t>
            </w:r>
            <w:r>
              <w:rPr>
                <w:rFonts w:ascii="Arial" w:hAnsi="Arial" w:eastAsia="Arial" w:cs="Arial"/>
                <w:color w:val="000000"/>
                <w:position w:val="0"/>
                <w:sz w:val="20"/>
                <w:szCs w:val="20"/>
                <w:shd w:val="clear" w:color="auto" w:fill="FFFFFF"/>
              </w:rPr>
              <w:t xml:space="preserve"> – auf ordnungsgemäßen Zustand</w:t>
            </w:r>
          </w:p>
        </w:tc>
      </w:tr>
      <w:tr>
        <w:trPr>
          <w:trHeight w:val="0" w:hRule="atLeast"/>
        </w:trPr>
        <w:tc>
          <w:tcPr>
            <w:tcW w:w="348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52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9 Abs 1 AM-VO, BGBl II 164/2000 idF
BGBl II 21/2010</w:t>
            </w:r>
          </w:p>
        </w:tc>
      </w:tr>
      <w:tr>
        <w:trPr>
          <w:trHeight w:val="0" w:hRule="atLeast"/>
        </w:trPr>
        <w:tc>
          <w:tcPr>
            <w:tcW w:w="348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Zulässiges Prüforgan:</w:t>
            </w:r>
          </w:p>
        </w:tc>
        <w:tc>
          <w:tcPr>
            <w:tcW w:w="52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numPr>
                <w:ilvl w:val="0"/>
                <w:numId w:val="411605218"/>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ZiviltechnikerInnen einschlägiger Fachgebiete, insbesondere für
Maschinenbau oder Elektrotechnik</w:t>
            </w:r>
          </w:p>
          <w:p>
            <w:pPr>
              <w:numPr>
                <w:ilvl w:val="0"/>
                <w:numId w:val="411605218"/>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Zugelassene Prüfstellen gem § 71 Abs 5 GewO 1994
im Rahmen ihrer Zuständigkeit</w:t>
            </w:r>
          </w:p>
          <w:p>
            <w:pPr>
              <w:numPr>
                <w:ilvl w:val="0"/>
                <w:numId w:val="411605218"/>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Akkreditierte Prüf- und Überwachungsstellen im Rahmen ihrer
Befugnisse</w:t>
            </w:r>
          </w:p>
          <w:p>
            <w:pPr>
              <w:numPr>
                <w:ilvl w:val="0"/>
                <w:numId w:val="411605218"/>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Ingenieurbüros (Beratende IngenieurInnen) einschlägiger
Fachrichtung im Rahmen ihrer Befugnisse</w:t>
            </w:r>
          </w:p>
          <w:p>
            <w:pPr>
              <w:numPr>
                <w:ilvl w:val="0"/>
                <w:numId w:val="411605218"/>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Inspektionsstellen für überwachungsbedürftige Hebeanlagen
gem § 15 Hebeanlagen-Betriebsverordnung (HBV),
BGBl II 210/2009 idF BGBl II 350/2016</w:t>
            </w:r>
          </w:p>
        </w:tc>
      </w:tr>
      <w:tr>
        <w:trPr>
          <w:trHeight w:val="0" w:hRule="atLeast"/>
        </w:trPr>
        <w:tc>
          <w:tcPr>
            <w:tcW w:w="348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52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9 Abs 2 AM-VO, BGBl II 164/2000 idF
BGBl II 21/2010</w:t>
            </w:r>
          </w:p>
        </w:tc>
      </w:tr>
      <w:tr>
        <w:trPr>
          <w:trHeight w:val="0" w:hRule="atLeast"/>
        </w:trPr>
        <w:tc>
          <w:tcPr>
            <w:tcW w:w="348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Prüfung nach Aufstellung:</w:t>
            </w:r>
          </w:p>
        </w:tc>
        <w:tc>
          <w:tcPr>
            <w:tcW w:w="52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ja</w:t>
            </w:r>
            <w:r>
              <w:rPr>
                <w:rFonts w:ascii="Arial" w:hAnsi="Arial" w:eastAsia="Arial" w:cs="Arial"/>
                <w:color w:val="000000"/>
                <w:position w:val="0"/>
                <w:sz w:val="20"/>
                <w:szCs w:val="20"/>
                <w:shd w:val="clear" w:color="auto" w:fill="FFFFFF"/>
              </w:rPr>
              <w:t xml:space="preserve"> – bei ortsveränderlichem Einsatz</w:t>
            </w:r>
          </w:p>
        </w:tc>
      </w:tr>
      <w:tr>
        <w:trPr>
          <w:trHeight w:val="0" w:hRule="atLeast"/>
        </w:trPr>
        <w:tc>
          <w:tcPr>
            <w:tcW w:w="348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52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10 Abs 1 Z 2 AM-VO, BGBl II 164/2000 idF
BGBl II 21/2010</w:t>
            </w:r>
          </w:p>
        </w:tc>
      </w:tr>
      <w:tr>
        <w:trPr>
          <w:trHeight w:val="0" w:hRule="atLeast"/>
        </w:trPr>
        <w:tc>
          <w:tcPr>
            <w:tcW w:w="348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Prüfumfang:</w:t>
            </w:r>
          </w:p>
        </w:tc>
        <w:tc>
          <w:tcPr>
            <w:tcW w:w="52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numPr>
                <w:ilvl w:val="0"/>
                <w:numId w:val="831164105"/>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Ordnungsgemäßer Zustand durch Funktions- und Sichtkontrolle
nach dem erstmaligen Aufstellen an einem Arbeitstag</w:t>
            </w:r>
          </w:p>
          <w:p>
            <w:pPr>
              <w:numPr>
                <w:ilvl w:val="0"/>
                <w:numId w:val="831164105"/>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Sichere Aufstellung bei jeder weiteren Umstellung</w:t>
            </w:r>
          </w:p>
          <w:p>
            <w:pPr>
              <w:numPr>
                <w:ilvl w:val="0"/>
                <w:numId w:val="831164105"/>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Ordnungsgemäße Montage bei Winden, die am Einsatzort aus
mehreren Einzelteilen zusammengesetzt werden müssen</w:t>
            </w:r>
          </w:p>
        </w:tc>
      </w:tr>
      <w:tr>
        <w:trPr>
          <w:trHeight w:val="0" w:hRule="atLeast"/>
        </w:trPr>
        <w:tc>
          <w:tcPr>
            <w:tcW w:w="348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52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10 Abs 2 AM-VO, BGBl II 164/2000 idF
BGBl II 21/2010</w:t>
            </w:r>
          </w:p>
        </w:tc>
      </w:tr>
      <w:tr>
        <w:trPr>
          <w:trHeight w:val="0" w:hRule="atLeast"/>
        </w:trPr>
        <w:tc>
          <w:tcPr>
            <w:tcW w:w="348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Zulässiges Prüforgan:</w:t>
            </w:r>
          </w:p>
        </w:tc>
        <w:tc>
          <w:tcPr>
            <w:tcW w:w="52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numPr>
                <w:ilvl w:val="0"/>
                <w:numId w:val="473563560"/>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ZiviltechnikerInnen einschlägiger Fachgebiete, insbesondere für
Maschinenbau oder Elektrotechnik</w:t>
            </w:r>
          </w:p>
          <w:p>
            <w:pPr>
              <w:numPr>
                <w:ilvl w:val="0"/>
                <w:numId w:val="473563560"/>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Zugelassene Prüfstellen gem § 71 Abs 5 GewO 1994
im Rahmen ihrer Zuständigkeit</w:t>
            </w:r>
          </w:p>
          <w:p>
            <w:pPr>
              <w:numPr>
                <w:ilvl w:val="0"/>
                <w:numId w:val="473563560"/>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Akkreditierte Prüf- und Überwachungsstellen im Rahmen ihrer
Befugnisse</w:t>
            </w:r>
          </w:p>
          <w:p>
            <w:pPr>
              <w:numPr>
                <w:ilvl w:val="0"/>
                <w:numId w:val="473563560"/>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Ingenieurbüros (Beratende IngenieurInnen) einschlägiger
Fachrichtung im Rahmen ihrer Befugnisse</w:t>
            </w:r>
          </w:p>
          <w:p>
            <w:pPr>
              <w:numPr>
                <w:ilvl w:val="0"/>
                <w:numId w:val="473563560"/>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Inspektionsstellen für überwachungsbedürftige Hebeanlagen
gem § 15 Hebeanlagen-Betriebsverordnung (HBV),
BGBl II 210/2009 idF BGBl II 350/2016</w:t>
            </w:r>
          </w:p>
          <w:p>
            <w:pPr>
              <w:numPr>
                <w:ilvl w:val="0"/>
                <w:numId w:val="473563560"/>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Sonstige geeignete fachkundige Personen (auch
Betriebsangehörige)</w:t>
            </w:r>
          </w:p>
        </w:tc>
      </w:tr>
      <w:tr>
        <w:trPr>
          <w:trHeight w:val="0" w:hRule="atLeast"/>
        </w:trPr>
        <w:tc>
          <w:tcPr>
            <w:tcW w:w="348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52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10 Abs 3 AM-VO, BGBl II 164/2000 idF
BGBl II 21/2010</w:t>
            </w:r>
          </w:p>
        </w:tc>
      </w:tr>
      <w:tr>
        <w:trPr>
          <w:trHeight w:val="0" w:hRule="atLeast"/>
        </w:trPr>
        <w:tc>
          <w:tcPr>
            <w:tcW w:w="348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Sonstige Prüfungen:</w:t>
            </w:r>
          </w:p>
        </w:tc>
        <w:tc>
          <w:tcPr>
            <w:tcW w:w="52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ja</w:t>
            </w:r>
            <w:r>
              <w:rPr>
                <w:rFonts w:ascii="Arial" w:hAnsi="Arial" w:eastAsia="Arial" w:cs="Arial"/>
                <w:color w:val="000000"/>
                <w:position w:val="0"/>
                <w:sz w:val="20"/>
                <w:szCs w:val="20"/>
                <w:shd w:val="clear" w:color="auto" w:fill="FFFFFF"/>
              </w:rPr>
              <w:t xml:space="preserve"> – Sicht- und Funktionsprüfung für Winden bei
Verwendung als Einrichtung zur Beförderung von Personen beim
Schornsteinbau</w:t>
            </w:r>
          </w:p>
        </w:tc>
      </w:tr>
      <w:tr>
        <w:trPr>
          <w:trHeight w:val="0" w:hRule="atLeast"/>
        </w:trPr>
        <w:tc>
          <w:tcPr>
            <w:tcW w:w="348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Zeitintervall:</w:t>
            </w:r>
          </w:p>
        </w:tc>
        <w:tc>
          <w:tcPr>
            <w:tcW w:w="52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Täglich vor Beginn der Arbeiten bei Winden für
Personenförderkörbe</w:t>
            </w:r>
          </w:p>
        </w:tc>
      </w:tr>
      <w:tr>
        <w:trPr>
          <w:trHeight w:val="0" w:hRule="atLeast"/>
        </w:trPr>
        <w:tc>
          <w:tcPr>
            <w:tcW w:w="348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52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91 Abs 8 BauV, BGBl 340/1994 idF BGBl II
241/2017</w:t>
            </w:r>
          </w:p>
        </w:tc>
      </w:tr>
      <w:tr>
        <w:trPr>
          <w:trHeight w:val="0" w:hRule="atLeast"/>
        </w:trPr>
        <w:tc>
          <w:tcPr>
            <w:tcW w:w="348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Prüfumfang:</w:t>
            </w:r>
          </w:p>
        </w:tc>
        <w:tc>
          <w:tcPr>
            <w:tcW w:w="52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numPr>
                <w:ilvl w:val="0"/>
                <w:numId w:val="758473707"/>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Einwandfreies Auf- und Abwickeln des Tragmittels
(Seilwickeleinrichtung)</w:t>
            </w:r>
          </w:p>
          <w:p>
            <w:pPr>
              <w:numPr>
                <w:ilvl w:val="0"/>
                <w:numId w:val="758473707"/>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Selbsttätig wirkende Bremseinrichtung (selbsthemmendes
Getriebe, Betriebsbremse)</w:t>
            </w:r>
          </w:p>
          <w:p>
            <w:pPr>
              <w:numPr>
                <w:ilvl w:val="0"/>
                <w:numId w:val="758473707"/>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Selbsttätig wirkende Sicherheitseinrichtung gegen
unbeabsichtigtes Absenken (Sicherheitsbremse,
Sperrvorrichtung)</w:t>
            </w:r>
          </w:p>
        </w:tc>
      </w:tr>
      <w:tr>
        <w:trPr>
          <w:trHeight w:val="0" w:hRule="atLeast"/>
        </w:trPr>
        <w:tc>
          <w:tcPr>
            <w:tcW w:w="348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52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91 Abs 6 BauV, BGBl 340/1994 idF BGBl II
241/2017</w:t>
            </w:r>
          </w:p>
        </w:tc>
      </w:tr>
      <w:tr>
        <w:trPr>
          <w:trHeight w:val="0" w:hRule="atLeast"/>
        </w:trPr>
        <w:tc>
          <w:tcPr>
            <w:tcW w:w="348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Zulässiges Prüforgan:</w:t>
            </w:r>
          </w:p>
        </w:tc>
        <w:tc>
          <w:tcPr>
            <w:tcW w:w="52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numPr>
                <w:ilvl w:val="0"/>
                <w:numId w:val="581052755"/>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Ziviltechniker des hierfür in Betracht kommenden
Fachgebietes</w:t>
            </w:r>
          </w:p>
          <w:p>
            <w:pPr>
              <w:numPr>
                <w:ilvl w:val="0"/>
                <w:numId w:val="581052755"/>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Fachkundige Organe des TÜV</w:t>
            </w:r>
          </w:p>
          <w:p>
            <w:pPr>
              <w:numPr>
                <w:ilvl w:val="0"/>
                <w:numId w:val="581052755"/>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Sonstige geeignete, fachkundige und hiezu berechtigte Personen
(auch Betriebsangehörige)</w:t>
            </w:r>
          </w:p>
        </w:tc>
      </w:tr>
      <w:tr>
        <w:trPr>
          <w:trHeight w:val="0" w:hRule="atLeast"/>
        </w:trPr>
        <w:tc>
          <w:tcPr>
            <w:tcW w:w="348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52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91 Abs 8 iVm § 2 Abs 2 und § 151
Abs 1 BauV, BGBl 340/1994 idF BGBl II 241/2017</w:t>
            </w:r>
          </w:p>
        </w:tc>
      </w:tr>
      <w:tr>
        <w:trPr>
          <w:trHeight w:val="0" w:hRule="atLeast"/>
        </w:trPr>
        <w:tc>
          <w:tcPr>
            <w:tcW w:w="348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Wartung, Instandhaltung:</w:t>
            </w:r>
          </w:p>
        </w:tc>
        <w:tc>
          <w:tcPr>
            <w:tcW w:w="52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ja</w:t>
            </w:r>
          </w:p>
        </w:tc>
      </w:tr>
      <w:tr>
        <w:trPr>
          <w:trHeight w:val="0" w:hRule="atLeast"/>
        </w:trPr>
        <w:tc>
          <w:tcPr>
            <w:tcW w:w="348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52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16 Abs 1 AM-VO, BGBl II 164/2000 idF
BGBl II 21/2010, iVm § 38 Abs 1 und § 17
Abs 1 ASchG, BGBl 450/1994 idF BGBl I 100/2018</w:t>
            </w:r>
          </w:p>
        </w:tc>
      </w:tr>
      <w:tr>
        <w:trPr>
          <w:trHeight w:val="0" w:hRule="atLeast"/>
        </w:trPr>
        <w:tc>
          <w:tcPr>
            <w:tcW w:w="348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Zulässiges Wartungsorgan:</w:t>
            </w:r>
          </w:p>
        </w:tc>
        <w:tc>
          <w:tcPr>
            <w:tcW w:w="52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numPr>
                <w:ilvl w:val="0"/>
                <w:numId w:val="573627713"/>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Geeignete fachkundige Personen</w:t>
            </w:r>
          </w:p>
        </w:tc>
      </w:tr>
      <w:tr>
        <w:trPr>
          <w:trHeight w:val="0" w:hRule="atLeast"/>
        </w:trPr>
        <w:tc>
          <w:tcPr>
            <w:tcW w:w="348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52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16 Abs 3 AM-VO, BGBl II 164/2000 idF
BGBl II 21/2010</w:t>
            </w:r>
          </w:p>
        </w:tc>
      </w:tr>
    </w:tbl>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2000"/>
        <w:gridCol w:w="2000"/>
      </w:tblGrid>
      <w:tr>
        <w:trPr>
          <w:trHeight w:val="0" w:hRule="atLeast"/>
        </w:trPr>
        <w:tc>
          <w:tcPr>
            <w:tcW w:w="2000" w:type="pct"/>
            <w:gridSpan w:val="2"/>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77" w:lineRule="auto"/>
              <w:ind w:left="0" w:right="0"/>
              <w:jc w:val="center"/>
              <w:textAlignment w:val="top"/>
            </w:pPr>
            <w:r>
              <w:rPr>
                <w:rFonts w:ascii="Arial" w:hAnsi="Arial" w:eastAsia="Arial" w:cs="Arial"/>
                <w:b/>
                <w:bCs/>
                <w:color w:val="000000"/>
                <w:position w:val="0"/>
                <w:sz w:val="22"/>
                <w:szCs w:val="22"/>
                <w:shd w:val="clear" w:color="auto" w:fill="D9D9D9"/>
              </w:rPr>
              <w:t xml:space="preserve">Notwendige Dokumentationen</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Aufzeichnungen</w:t>
            </w:r>
            <w:r>
              <w:rPr>
                <w:rFonts w:ascii="Arial" w:hAnsi="Arial" w:eastAsia="Arial" w:cs="Arial"/>
                <w:color w:val="000000"/>
                <w:position w:val="0"/>
                <w:sz w:val="20"/>
                <w:szCs w:val="20"/>
                <w:shd w:val="clear" w:color="auto" w:fill="FFFFFF"/>
              </w:rPr>
              <w:t xml:space="preserve"> betreffend Prüfungen
(Prüfbefunde):</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ja</w:t>
            </w:r>
            <w:r>
              <w:rPr>
                <w:rFonts w:ascii="Arial" w:hAnsi="Arial" w:eastAsia="Arial" w:cs="Arial"/>
                <w:color w:val="000000"/>
                <w:position w:val="0"/>
                <w:sz w:val="20"/>
                <w:szCs w:val="20"/>
                <w:shd w:val="clear" w:color="auto" w:fill="FFFFFF"/>
              </w:rPr>
              <w:t xml:space="preserve"> – für:</w:t>
            </w:r>
          </w:p>
          <w:p>
            <w:pPr>
              <w:numPr>
                <w:ilvl w:val="0"/>
                <w:numId w:val="42457419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Wiederkehrende Prüfungen</w:t>
            </w:r>
          </w:p>
          <w:p>
            <w:pPr>
              <w:numPr>
                <w:ilvl w:val="0"/>
                <w:numId w:val="42457419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Prüfungen nach außergewöhnlichen Ereignissen</w:t>
            </w:r>
          </w:p>
          <w:p>
            <w:pPr>
              <w:numPr>
                <w:ilvl w:val="0"/>
                <w:numId w:val="42457419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Prüfungen nach Aufstellung bei ortsveränderlichem Einsatz</w:t>
            </w:r>
          </w:p>
          <w:p>
            <w:pPr>
              <w:numPr>
                <w:ilvl w:val="0"/>
                <w:numId w:val="42457419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Sicht- und Funktionsprüfungen vor Beginn der Arbeiten</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11 Abs 1 Z 2, 3 u 7 AM-VO, BGBl II
164/2000 idF BGBl II 21/2010, und § 159 Abs 2 BauV,
BGBl 340/1994 idF BGBl II 241/2017</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Aufbewahrung am Einsatzort:</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Prüfbefunde oder Kopien – für:</w:t>
            </w:r>
          </w:p>
          <w:p>
            <w:pPr>
              <w:numPr>
                <w:ilvl w:val="0"/>
                <w:numId w:val="568247876"/>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Wiederkehrende Prüfungen</w:t>
            </w:r>
          </w:p>
          <w:p>
            <w:pPr>
              <w:numPr>
                <w:ilvl w:val="0"/>
                <w:numId w:val="568247876"/>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Prüfungen nach außergewöhnlichen Ereignissen</w:t>
            </w:r>
          </w:p>
          <w:p>
            <w:pPr>
              <w:numPr>
                <w:ilvl w:val="0"/>
                <w:numId w:val="568247876"/>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Prüfungen nach Aufstellung von Winden, die aus Einzelteilen
zusammengebaut werden müssen, bei ortsveränderlichem Einsatz</w:t>
            </w:r>
          </w:p>
          <w:p>
            <w:pPr>
              <w:numPr>
                <w:ilvl w:val="0"/>
                <w:numId w:val="568247876"/>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Sicht- und Funktionsprüfungen vor Beginn der Arbeiten</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11 Abs 3 iVm § 8 Abs 6 AM-VO, BGBl II
164/2000 idF BGBl II 21/2010, und § 159 Abs 2 BauV,
BGBl 340/1994 idF BGBl II 241/2017</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Aufbewahrungsfrist:</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Bis zum Ausscheiden des Arbeitsmittels</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11 Abs 3 AM-VO, BGBl II 164/2000 idF
BGBl II 21/2010</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Prüfplan:</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nein</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Wartungsbuch:</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ja</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16 Abs 4 AM-VO, BGBl II 164/2000 idF
BGBl II 21/2010</w:t>
            </w:r>
          </w:p>
        </w:tc>
      </w:tr>
    </w:tbl>
    <w:p>
      <w:pPr>
        <w:widowControl w:val="on"/>
        <w:pBdr/>
        <w:spacing w:before="0" w:after="105" w:line="288" w:lineRule="auto"/>
        <w:ind w:left="0" w:right="0"/>
        <w:jc w:val="left"/>
      </w:pPr>
      <w:r>
        <w:rPr>
          <w:rFonts w:ascii="Arial" w:hAnsi="Arial" w:eastAsia="Arial" w:cs="Arial"/>
          <w:b/>
          <w:bCs/>
          <w:color w:val="277DB9"/>
          <w:sz w:val="25"/>
          <w:szCs w:val="25"/>
        </w:rPr>
        <w:t xml:space="preserve">Hinweis:</w:t>
      </w:r>
    </w:p>
    <w:p>
      <w:pPr>
        <w:widowControl w:val="on"/>
        <w:pBdr/>
        <w:spacing w:before="140" w:after="240" w:line="288" w:lineRule="auto"/>
        <w:ind w:left="0" w:right="0"/>
        <w:jc w:val="left"/>
      </w:pPr>
      <w:r>
        <w:rPr>
          <w:rFonts w:ascii="Arial" w:hAnsi="Arial" w:eastAsia="Arial" w:cs="Arial"/>
          <w:color w:val="277DB9"/>
          <w:sz w:val="20"/>
          <w:szCs w:val="20"/>
        </w:rPr>
        <w:t xml:space="preserve">Die Erläuterungen zur Arbeitsmittelverordnung finden Sie im
Register 2.</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Erläuterungen zur BauarbeiterschutzV (BauV)</w:t>
      </w:r>
    </w:p>
    <w:p>
      <w:pPr>
        <w:widowControl w:val="on"/>
        <w:pBdr/>
        <w:spacing w:before="140" w:after="240" w:line="288" w:lineRule="auto"/>
        <w:ind w:left="0" w:right="0"/>
        <w:jc w:val="left"/>
      </w:pPr>
      <w:r>
        <w:rPr>
          <w:rFonts w:ascii="Arial" w:hAnsi="Arial" w:eastAsia="Arial" w:cs="Arial"/>
          <w:color w:val="000000"/>
          <w:sz w:val="20"/>
          <w:szCs w:val="20"/>
        </w:rPr>
        <w:t xml:space="preserve">Die Bauarbeiterschutzverordnung (Verordnung des Bundesministers
für Arbeit, Soziales und Konsumentenschutz über Sicherheit und
Gesundheitsschutz auf Baustellen und auf auswärtigen Arbeitsstellen
[Bauarbeiterschutzverordnung – BauV]), BGBl 340/1994 idF
BGBl II 241/2017, legt allgemeine Maßnahmen zum Schutz der
ArbeitnehmerInnen bei der Durchführung von Bauarbeiten, ausgenommen
bei Tagbauarbeiten (Anm: für Tagbauarbeiten gelten die Regelungen
der Tagbauverordnung – TAV, BGBl II 416/2010), fest.
Bauarbeiten iSd Begriffsbestimmungen des § 1 BauV sind
Arbeiten zur Herstellung, Instandhaltung, Sanierung, Reparatur,
Änderung und Beseitigung von baulichen Anlagen aller Art,
einschließlich der hierfür erforderlichen Vorbereitungs- und
Abschlussarbeiten, insbesondere auch Zimmerer-, Dachdecker-,
Glaser-, Maler-, Anstreicher-, Spengler-, Fliesenleger-, Estrich-,
Isolierarbeiten, und Gerüstbauarbeiten, Stahlbauarbeiten, Gas-,
Wasser-, Heizungs-, Lüftungs- und Elektroinstallationsarbeiten,
Sprengarbeiten, Abbrucharbeiten sowie Fassadenreinigungsarbeiten
und Rauchfangkehrerarbeiten. Als Bauarbeiten gelten auch
Erdarbeiten, wie Aufschüttungen, Auf- und Abgrabungen sowie die
Herstellung von künstlichen Hohlräumen unterhalb der
Erdoberfläche.</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Prüfungen, Prüffristen</w:t>
      </w:r>
    </w:p>
    <w:p>
      <w:pPr>
        <w:widowControl w:val="on"/>
        <w:pBdr/>
        <w:spacing w:before="140" w:after="240" w:line="288" w:lineRule="auto"/>
        <w:ind w:left="0" w:right="0"/>
        <w:jc w:val="left"/>
      </w:pPr>
      <w:r>
        <w:rPr>
          <w:rFonts w:ascii="Arial" w:hAnsi="Arial" w:eastAsia="Arial" w:cs="Arial"/>
          <w:color w:val="000000"/>
          <w:sz w:val="20"/>
          <w:szCs w:val="20"/>
        </w:rPr>
        <w:t xml:space="preserve">Einrichtungen zum Befördern von Personen beim Schornsteinbau auf
Baustellen sind gem § 91 Abs 8 BauV, zusätzlich zu
den nach den Vorschriften der Arbeitsmittelverordnung (AM-VO),
BGBl II 164/2000 idF BGBl II 21/2010, erforderlichen
Prüfungen, täglich vor jedem Arbeitsbeginn einer Sicht- und
Funktionsprüfung zu unterziehen (s Prüfblatt „Schornsteinbau –
Einrichtungen zur Personenbeförderung“). Die Benützung der
Einrichtung ist gem § 151 Abs 1 BauV nur zulässig,
wenn festgestellte Mängel behoben wurden. Die Sicht- und
Funktionsprüfung der für den Personenförderkorb eingesetzten Winde
hat die in § 91 Abs 6 BauV angeführten Funktionen der
Sicherheitsausstattung zu umfassen.</w:t>
      </w:r>
    </w:p>
    <w:p>
      <w:pPr>
        <w:widowControl w:val="on"/>
        <w:pBdr/>
        <w:spacing w:before="140" w:after="240" w:line="288" w:lineRule="auto"/>
        <w:ind w:left="0" w:right="0"/>
        <w:jc w:val="left"/>
      </w:pPr>
      <w:r>
        <w:rPr>
          <w:rFonts w:ascii="Arial" w:hAnsi="Arial" w:eastAsia="Arial" w:cs="Arial"/>
          <w:color w:val="000000"/>
          <w:sz w:val="20"/>
          <w:szCs w:val="20"/>
        </w:rPr>
        <w:t xml:space="preserve">Die entsprechenden Bestimmungen der BauV lauten:</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BauV § 91 Arbeiten an Schornstein- und Feuerungsanlagen –
Einrichtungen zum Befördern von Personen beim Schornsteinbau</w:t>
      </w:r>
    </w:p>
    <w:p>
      <w:pPr>
        <w:widowControl w:val="on"/>
        <w:pBdr/>
        <w:spacing w:before="140" w:after="240" w:line="288" w:lineRule="auto"/>
        <w:ind w:left="0" w:right="0"/>
        <w:jc w:val="left"/>
      </w:pPr>
      <w:r>
        <w:rPr>
          <w:rFonts w:ascii="Arial" w:hAnsi="Arial" w:eastAsia="Arial" w:cs="Arial"/>
          <w:i/>
          <w:iCs/>
          <w:color w:val="000000"/>
          <w:sz w:val="20"/>
          <w:szCs w:val="20"/>
        </w:rPr>
        <w:t xml:space="preserve">§ 91 (6) Winden für Personenförderkörbe müssen mit
Einrichtungen ausgestattet sein, die ein einwandfreies Auf- und
Abwickeln des Tragmittels gewährleisten, wie eine
Seilwickeleinrichtung. Sie müssen neben mindestens einer
selbsttätig wirkenden Bremseinrichtung, wie ein selbsthemmendes
Getriebe oder eine Betriebsbremse, zusätzlich eine selbsttätig
wirkende Sicherheitseinrichtung, wie eine Sicherheitsbremse oder
eine Sperrvorrichtung, gegen unbeabsichtigtes Absenken besitzen,
die bei Aussetzen der Antriebskraft, bei Versagen der
Betriebsbremse oder bei Getriebebruch wirksam ist.</w:t>
      </w:r>
    </w:p>
    <w:p>
      <w:pPr>
        <w:widowControl w:val="on"/>
        <w:pBdr/>
        <w:spacing w:before="140" w:after="240" w:line="288" w:lineRule="auto"/>
        <w:ind w:left="0" w:right="0"/>
        <w:jc w:val="left"/>
      </w:pPr>
      <w:r>
        <w:rPr>
          <w:rFonts w:ascii="Arial" w:hAnsi="Arial" w:eastAsia="Arial" w:cs="Arial"/>
          <w:i/>
          <w:iCs/>
          <w:color w:val="000000"/>
          <w:sz w:val="20"/>
          <w:szCs w:val="20"/>
        </w:rPr>
        <w:t xml:space="preserve">(8) Einrichtungen nach Abs 1</w:t>
      </w:r>
      <w:r>
        <w:rPr>
          <w:rFonts w:ascii="Arial" w:hAnsi="Arial" w:eastAsia="Arial" w:cs="Arial"/>
          <w:color w:val="000000"/>
          <w:sz w:val="20"/>
          <w:szCs w:val="20"/>
        </w:rPr>
        <w:t xml:space="preserve"> (Anm: Einrichtungen
zum Befördern von Personen)</w:t>
      </w:r>
      <w:r>
        <w:rPr>
          <w:rFonts w:ascii="Arial" w:hAnsi="Arial" w:eastAsia="Arial" w:cs="Arial"/>
          <w:i/>
          <w:iCs/>
          <w:color w:val="000000"/>
          <w:sz w:val="20"/>
          <w:szCs w:val="20"/>
        </w:rPr>
        <w:t xml:space="preserve"> sind täglich vor Beginn der
Arbeiten … einer Sicht- und Funktionsprüfung zu
unterziehen.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BauV § 151 Instandhaltung, Prüfung, Reinigung und
Unterweisung – Prüfungen</w:t>
      </w:r>
    </w:p>
    <w:p>
      <w:pPr>
        <w:widowControl w:val="on"/>
        <w:pBdr/>
        <w:spacing w:before="140" w:after="240" w:line="288" w:lineRule="auto"/>
        <w:ind w:left="0" w:right="0"/>
        <w:jc w:val="left"/>
      </w:pPr>
      <w:r>
        <w:rPr>
          <w:rFonts w:ascii="Arial" w:hAnsi="Arial" w:eastAsia="Arial" w:cs="Arial"/>
          <w:i/>
          <w:iCs/>
          <w:color w:val="000000"/>
          <w:sz w:val="20"/>
          <w:szCs w:val="20"/>
        </w:rPr>
        <w:t xml:space="preserve">§ 151 (1) Betriebseinrichtungen, sonstige mechanische
Einrichtungen, Betriebsmittel …, für die im I. oder im II.
Hauptstück Prüfungen ihres ordnungsgemäßen Zustands vorgesehen
sind, dürfen nur verwendet werden, wenn diese Prüfungen
durchgeführt und dabei festgestellte Mängel beseitigt wurden
…</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Zulässiges Prüforgan</w:t>
      </w:r>
    </w:p>
    <w:p>
      <w:pPr>
        <w:widowControl w:val="on"/>
        <w:pBdr/>
        <w:spacing w:before="140" w:after="240" w:line="288" w:lineRule="auto"/>
        <w:ind w:left="0" w:right="0"/>
        <w:jc w:val="left"/>
      </w:pPr>
      <w:r>
        <w:rPr>
          <w:rFonts w:ascii="Arial" w:hAnsi="Arial" w:eastAsia="Arial" w:cs="Arial"/>
          <w:color w:val="000000"/>
          <w:sz w:val="20"/>
          <w:szCs w:val="20"/>
        </w:rPr>
        <w:t xml:space="preserve">Der Personenkreis, der die gem § 91 Abs 8 BauV
vorzunehmenden täglichen Sicht- und Funktionsprüfungen durchführen
darf, ist in § 151 Abs 1 der Verordnung mit
Ziviltechniker des hierfür in Betracht kommenden Fachgebietes,
fachkundige Organe des TÜV oder sonstige fachkundige und zur
Vornahme derartiger Prüfungen berechtigte Personen, die auch
Betriebsangehörige sein können, bezeichnet. Als „fachkundig“ gelten
gem den Begriffsbestimmungen des § 2 Abs 2 der
Verordnung Personen, die die erforderlichen fachlichen Kenntnisse
und Berufserfahrung besitzen. Hinzuweisen ist, dass nach den
Begriffsbestimmungen des § 2 Abs 2 der Verordnung
zusätzlich auch Angehörige staatlicher Einrichtungen als
„fachkundige Personen“ gelten. Aus der Art und dem Umfang der
täglichen Sicht- und Funktionsprüfungen ist davon auszugehen, dass
diese von fachkundigen Betriebsangehörigen, die die erforderlichen
fachlichen Kenntnisse entsprechend § 2 Abs 2 BauV
besitzen, ausgeführt werden können.</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BauV § 98 Untertagebauarbeiten – Betriebsmittel</w:t>
      </w:r>
    </w:p>
    <w:p>
      <w:pPr>
        <w:widowControl w:val="on"/>
        <w:pBdr/>
        <w:spacing w:before="140" w:after="240" w:line="288" w:lineRule="auto"/>
        <w:ind w:left="0" w:right="0"/>
        <w:jc w:val="left"/>
      </w:pPr>
      <w:r>
        <w:rPr>
          <w:rFonts w:ascii="Arial" w:hAnsi="Arial" w:eastAsia="Arial" w:cs="Arial"/>
          <w:i/>
          <w:iCs/>
          <w:color w:val="000000"/>
          <w:sz w:val="20"/>
          <w:szCs w:val="20"/>
        </w:rPr>
        <w:t xml:space="preserve">§ 98 (6) Mechanische Vortriebsgeräte …, sind … von
einer fachkundigen Person … zu prüfen.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BauV § 151 Instandhaltung, Prüfung, Reinigung und
Unterweisung – Prüfungen</w:t>
      </w:r>
    </w:p>
    <w:p>
      <w:pPr>
        <w:widowControl w:val="on"/>
        <w:pBdr/>
        <w:spacing w:before="140" w:after="240" w:line="288" w:lineRule="auto"/>
        <w:ind w:left="0" w:right="0"/>
        <w:jc w:val="left"/>
      </w:pPr>
      <w:r>
        <w:rPr>
          <w:rFonts w:ascii="Arial" w:hAnsi="Arial" w:eastAsia="Arial" w:cs="Arial"/>
          <w:i/>
          <w:iCs/>
          <w:color w:val="000000"/>
          <w:sz w:val="20"/>
          <w:szCs w:val="20"/>
        </w:rPr>
        <w:t xml:space="preserve">§ 151 (1) ... Die Prüfungen sind von Ziviltechnikern
des hiefür in Betracht kommenden Fachgebietes, fachkundigen Organen
des Technischen Überwachungsvereines oder von sonstigen geeigneten,
fachkundigen und hierzu berechtigten Personen durchzuführen, die
auch Betriebsangehörige sein können.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BauV § 2 Allgemeine Bestimmungen –
Begriffsbestimmungen</w:t>
      </w:r>
    </w:p>
    <w:p>
      <w:pPr>
        <w:widowControl w:val="on"/>
        <w:pBdr/>
        <w:spacing w:before="140" w:after="240" w:line="288" w:lineRule="auto"/>
        <w:ind w:left="0" w:right="0"/>
        <w:jc w:val="left"/>
      </w:pPr>
      <w:r>
        <w:rPr>
          <w:rFonts w:ascii="Arial" w:hAnsi="Arial" w:eastAsia="Arial" w:cs="Arial"/>
          <w:i/>
          <w:iCs/>
          <w:color w:val="000000"/>
          <w:sz w:val="20"/>
          <w:szCs w:val="20"/>
        </w:rPr>
        <w:t xml:space="preserve">§ 2 (2) Fachkundige im Sinne dieser Verordnung sind
Personen, die die erforderlichen Fachkenntnisse und
Berufserfahrungen besitzen und auch die Gewähr für eine
gewissenhafte Durchführung der ihnen übertragenen Arbeiten bieten.
Als fachkundige Personen im Sinne dieser Verordnung gelten
fachkundige Organe von Anstalten des Bundes oder eines
Bundeslandes, von staatlich autorisierten Anstalten, sowie
Ziviltechniker oder Gewerbetreibende, jeweils im Rahmen ihrer
Befugnisse. Als fachkundige Personen können auch Betriebsangehörige
eingesetzt werden.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BauV § 4 Allgemeine Bestimmungen – Aufsicht und
Koordination</w:t>
      </w:r>
    </w:p>
    <w:p>
      <w:pPr>
        <w:widowControl w:val="on"/>
        <w:pBdr/>
        <w:spacing w:before="140" w:after="240" w:line="288" w:lineRule="auto"/>
        <w:ind w:left="0" w:right="0"/>
        <w:jc w:val="left"/>
      </w:pPr>
      <w:r>
        <w:rPr>
          <w:rFonts w:ascii="Arial" w:hAnsi="Arial" w:eastAsia="Arial" w:cs="Arial"/>
          <w:i/>
          <w:iCs/>
          <w:color w:val="000000"/>
          <w:sz w:val="20"/>
          <w:szCs w:val="20"/>
        </w:rPr>
        <w:t xml:space="preserve">§ 4 (1) Bauarbeiten dürfen nur unter Aufsicht einer
geeigneten Aufsichtsperson, mit der erforderlichen Sorgfalt und
nach fachmännischen Grundsätzen durchgeführt werden. Als
Aufsichtsperson kann der Arbeitgeber oder eine von ihm
bevollmächtigte, mit entsprechenden Befugnissen ausgestattete
Person tätig sein. Als Aufsichtsperson ist nur geeignet,
wer</w:t>
      </w:r>
    </w:p>
    <w:p>
      <w:pPr>
        <w:numPr>
          <w:ilvl w:val="0"/>
          <w:numId w:val="498929486"/>
        </w:numPr>
        <w:spacing w:before="0" w:after="0" w:line="288" w:lineRule="auto"/>
        <w:jc w:val="left"/>
        <w:rPr>
          <w:rFonts w:ascii="Arial" w:hAnsi="Arial" w:eastAsia="Arial" w:cs="Arial"/>
          <w:color w:val="000000"/>
          <w:sz w:val="20"/>
          <w:szCs w:val="20"/>
        </w:rPr>
      </w:pPr>
      <w:r>
        <w:rPr>
          <w:rFonts w:ascii="Arial" w:hAnsi="Arial" w:eastAsia="Arial" w:cs="Arial"/>
          <w:i/>
          <w:iCs/>
          <w:color w:val="000000"/>
          <w:sz w:val="20"/>
          <w:szCs w:val="20"/>
        </w:rPr>
        <w:t xml:space="preserve">die für die auszuführenden Arbeiten erforderlichen
theoretischen und praktischen Kenntnisse und die Erfahrungen in
allen Fragen besitzt, die mit den in Betracht kommenden Arbeiten
vom Standpunkt der Sicherheit zusammenhängen,</w:t>
      </w:r>
    </w:p>
    <w:p>
      <w:pPr>
        <w:numPr>
          <w:ilvl w:val="0"/>
          <w:numId w:val="498929486"/>
        </w:numPr>
        <w:spacing w:before="0" w:after="0" w:line="288" w:lineRule="auto"/>
        <w:jc w:val="left"/>
        <w:rPr>
          <w:rFonts w:ascii="Arial" w:hAnsi="Arial" w:eastAsia="Arial" w:cs="Arial"/>
          <w:color w:val="000000"/>
          <w:sz w:val="20"/>
          <w:szCs w:val="20"/>
        </w:rPr>
      </w:pPr>
      <w:r>
        <w:rPr>
          <w:rFonts w:ascii="Arial" w:hAnsi="Arial" w:eastAsia="Arial" w:cs="Arial"/>
          <w:i/>
          <w:iCs/>
          <w:color w:val="000000"/>
          <w:sz w:val="20"/>
          <w:szCs w:val="20"/>
        </w:rPr>
        <w:t xml:space="preserve">Kenntnisse über die in Betracht kommenden
Arbeitnehmerschutzvorschriften besitzt und</w:t>
      </w:r>
    </w:p>
    <w:p>
      <w:pPr>
        <w:numPr>
          <w:ilvl w:val="0"/>
          <w:numId w:val="498929486"/>
        </w:numPr>
        <w:spacing w:before="0" w:after="0" w:line="288" w:lineRule="auto"/>
        <w:jc w:val="left"/>
        <w:rPr>
          <w:rFonts w:ascii="Arial" w:hAnsi="Arial" w:eastAsia="Arial" w:cs="Arial"/>
          <w:color w:val="000000"/>
          <w:sz w:val="20"/>
          <w:szCs w:val="20"/>
        </w:rPr>
      </w:pPr>
      <w:r>
        <w:rPr>
          <w:rFonts w:ascii="Arial" w:hAnsi="Arial" w:eastAsia="Arial" w:cs="Arial"/>
          <w:i/>
          <w:iCs/>
          <w:color w:val="000000"/>
          <w:sz w:val="20"/>
          <w:szCs w:val="20"/>
        </w:rPr>
        <w:t xml:space="preserve">Gewähr für eine gewissenhafte Durchführung der übertragenen
Aufgaben bietet.</w:t>
      </w:r>
    </w:p>
    <w:p>
      <w:pPr>
        <w:widowControl w:val="on"/>
        <w:pBdr/>
        <w:spacing w:before="140" w:after="240" w:line="288" w:lineRule="auto"/>
        <w:ind w:left="0" w:right="0"/>
        <w:jc w:val="left"/>
      </w:pPr>
      <w:r>
        <w:rPr>
          <w:rFonts w:ascii="Arial" w:hAnsi="Arial" w:eastAsia="Arial" w:cs="Arial"/>
          <w:i/>
          <w:iCs/>
          <w:color w:val="000000"/>
          <w:sz w:val="20"/>
          <w:szCs w:val="20"/>
        </w:rPr>
        <w:t xml:space="preserve">(3) Die erforderlichen Kenntnisse gemäß Abs 1 Z 2
sind in geeigneter Form nachzuweisen, zB durch ein Zeugnis über die
erforderliche Ablegung einer Meisterprüfung.</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Aufzeichnungen</w:t>
      </w:r>
    </w:p>
    <w:p>
      <w:pPr>
        <w:widowControl w:val="on"/>
        <w:pBdr/>
        <w:spacing w:before="140" w:after="240" w:line="288" w:lineRule="auto"/>
        <w:ind w:left="0" w:right="0"/>
        <w:jc w:val="left"/>
      </w:pPr>
      <w:r>
        <w:rPr>
          <w:rFonts w:ascii="Arial" w:hAnsi="Arial" w:eastAsia="Arial" w:cs="Arial"/>
          <w:color w:val="000000"/>
          <w:sz w:val="20"/>
          <w:szCs w:val="20"/>
        </w:rPr>
        <w:t xml:space="preserve">Über die von der beauftragten fachkundigen Person durchgeführten
täglichen Sicht- und Funktionsprüfungen der Winde
gem § 91 Abs 8 BauV sind Prüfvormerke bzw -berichte
zu erstellen, die gem § 159 Abs 2 der Verordnung auf
der Baustelle zur Einsichtnahme aufzuliegen haben. Die BauV trifft
keine Festlegungen über die Aufbewahrungsdauer der Prüfvormerke, es
empfiehlt sich jedoch, diese in sinngemäßer Anwendung des § 11
Abs 3 der ArbeitsmittelV (AM-VO) bis zum Ausscheiden der Winde
bzw über die Dauer der Baustelle aufzubewahren.</w:t>
      </w:r>
    </w:p>
    <w:p>
      <w:pPr>
        <w:widowControl w:val="on"/>
        <w:pBdr/>
        <w:spacing w:before="140" w:after="240" w:line="288" w:lineRule="auto"/>
        <w:ind w:left="0" w:right="0"/>
        <w:jc w:val="left"/>
      </w:pPr>
      <w:r>
        <w:rPr>
          <w:rFonts w:ascii="Arial" w:hAnsi="Arial" w:eastAsia="Arial" w:cs="Arial"/>
          <w:color w:val="000000"/>
          <w:sz w:val="20"/>
          <w:szCs w:val="20"/>
        </w:rPr>
        <w:t xml:space="preserve">Die diesbezüglichen Bestimmungen der BauV und der AM-VO
lauten:</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BauV § 159 Auflegen von Vorschriften, Vormerken und
Nachweisen</w:t>
      </w:r>
    </w:p>
    <w:p>
      <w:pPr>
        <w:widowControl w:val="on"/>
        <w:pBdr/>
        <w:spacing w:before="140" w:after="240" w:line="288" w:lineRule="auto"/>
        <w:ind w:left="0" w:right="0"/>
        <w:jc w:val="left"/>
      </w:pPr>
      <w:r>
        <w:rPr>
          <w:rFonts w:ascii="Arial" w:hAnsi="Arial" w:eastAsia="Arial" w:cs="Arial"/>
          <w:i/>
          <w:iCs/>
          <w:color w:val="000000"/>
          <w:sz w:val="20"/>
          <w:szCs w:val="20"/>
        </w:rPr>
        <w:t xml:space="preserve">§ 159 (2) Die in dieser Verordnung vorgeschriebenen
Vormerke über Prüfungen müssen auf der Baustelle zur Einsichtnahme
aufliegen.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AM-VO § 11 Prüfbefund, Prüfplan</w:t>
      </w:r>
    </w:p>
    <w:p>
      <w:pPr>
        <w:widowControl w:val="on"/>
        <w:pBdr/>
        <w:spacing w:before="140" w:after="240" w:line="288" w:lineRule="auto"/>
        <w:ind w:left="0" w:right="0"/>
        <w:jc w:val="left"/>
      </w:pPr>
      <w:r>
        <w:rPr>
          <w:rFonts w:ascii="Arial" w:hAnsi="Arial" w:eastAsia="Arial" w:cs="Arial"/>
          <w:i/>
          <w:iCs/>
          <w:color w:val="000000"/>
          <w:sz w:val="20"/>
          <w:szCs w:val="20"/>
        </w:rPr>
        <w:t xml:space="preserve">§ 11 (3) Die Prüfbefunde sind von den ArbeitgeberInnen
bis zum Ausscheiden des Arbeitsmittels aufzubewahren. …</w:t>
      </w:r>
    </w:p>
    <w:p>
      <w:r>
        <w:pict>
          <v:rect id="_x0000_i1026" style="width:0;height:1.5pt" o:hralign="center" o:hrstd="t" o:hr="t" o:hrnoshade="t" fillcolor="#a0a0a0" stroked="f"/>
        </w:pic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8929486">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56824787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24574194">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7362771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8105275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5847370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7356356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3116410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1160521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338826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2140378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013619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9104922">
    <w:multiLevelType w:val="hybridMultilevel"/>
    <w:lvl w:ilvl="0" w:tplc="82038053">
      <w:start w:val="1"/>
      <w:numFmt w:val="decimal"/>
      <w:lvlText w:val="%1."/>
      <w:lvlJc w:val="left"/>
      <w:pPr>
        <w:ind w:left="720" w:hanging="360"/>
      </w:pPr>
    </w:lvl>
    <w:lvl w:ilvl="1" w:tplc="82038053" w:tentative="1">
      <w:start w:val="1"/>
      <w:numFmt w:val="lowerLetter"/>
      <w:lvlText w:val="%2."/>
      <w:lvlJc w:val="left"/>
      <w:pPr>
        <w:ind w:left="1440" w:hanging="360"/>
      </w:pPr>
    </w:lvl>
    <w:lvl w:ilvl="2" w:tplc="82038053" w:tentative="1">
      <w:start w:val="1"/>
      <w:numFmt w:val="lowerRoman"/>
      <w:lvlText w:val="%3."/>
      <w:lvlJc w:val="right"/>
      <w:pPr>
        <w:ind w:left="2160" w:hanging="180"/>
      </w:pPr>
    </w:lvl>
    <w:lvl w:ilvl="3" w:tplc="82038053" w:tentative="1">
      <w:start w:val="1"/>
      <w:numFmt w:val="decimal"/>
      <w:lvlText w:val="%4."/>
      <w:lvlJc w:val="left"/>
      <w:pPr>
        <w:ind w:left="2880" w:hanging="360"/>
      </w:pPr>
    </w:lvl>
    <w:lvl w:ilvl="4" w:tplc="82038053" w:tentative="1">
      <w:start w:val="1"/>
      <w:numFmt w:val="lowerLetter"/>
      <w:lvlText w:val="%5."/>
      <w:lvlJc w:val="left"/>
      <w:pPr>
        <w:ind w:left="3600" w:hanging="360"/>
      </w:pPr>
    </w:lvl>
    <w:lvl w:ilvl="5" w:tplc="82038053" w:tentative="1">
      <w:start w:val="1"/>
      <w:numFmt w:val="lowerRoman"/>
      <w:lvlText w:val="%6."/>
      <w:lvlJc w:val="right"/>
      <w:pPr>
        <w:ind w:left="4320" w:hanging="180"/>
      </w:pPr>
    </w:lvl>
    <w:lvl w:ilvl="6" w:tplc="82038053" w:tentative="1">
      <w:start w:val="1"/>
      <w:numFmt w:val="decimal"/>
      <w:lvlText w:val="%7."/>
      <w:lvlJc w:val="left"/>
      <w:pPr>
        <w:ind w:left="5040" w:hanging="360"/>
      </w:pPr>
    </w:lvl>
    <w:lvl w:ilvl="7" w:tplc="82038053" w:tentative="1">
      <w:start w:val="1"/>
      <w:numFmt w:val="lowerLetter"/>
      <w:lvlText w:val="%8."/>
      <w:lvlJc w:val="left"/>
      <w:pPr>
        <w:ind w:left="5760" w:hanging="360"/>
      </w:pPr>
    </w:lvl>
    <w:lvl w:ilvl="8" w:tplc="82038053" w:tentative="1">
      <w:start w:val="1"/>
      <w:numFmt w:val="lowerRoman"/>
      <w:lvlText w:val="%9."/>
      <w:lvlJc w:val="right"/>
      <w:pPr>
        <w:ind w:left="6480" w:hanging="180"/>
      </w:pPr>
    </w:lvl>
  </w:abstractNum>
  <w:abstractNum w:abstractNumId="865081619">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29178020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9104921">
    <w:multiLevelType w:val="hybridMultilevel"/>
    <w:lvl w:ilvl="0" w:tplc="17436903">
      <w:start w:val="1"/>
      <w:numFmt w:val="decimal"/>
      <w:lvlText w:val="%1."/>
      <w:lvlJc w:val="left"/>
      <w:pPr>
        <w:ind w:left="720" w:hanging="360"/>
      </w:pPr>
    </w:lvl>
    <w:lvl w:ilvl="1" w:tplc="17436903" w:tentative="1">
      <w:start w:val="1"/>
      <w:numFmt w:val="lowerLetter"/>
      <w:lvlText w:val="%2."/>
      <w:lvlJc w:val="left"/>
      <w:pPr>
        <w:ind w:left="1440" w:hanging="360"/>
      </w:pPr>
    </w:lvl>
    <w:lvl w:ilvl="2" w:tplc="17436903" w:tentative="1">
      <w:start w:val="1"/>
      <w:numFmt w:val="lowerRoman"/>
      <w:lvlText w:val="%3."/>
      <w:lvlJc w:val="right"/>
      <w:pPr>
        <w:ind w:left="2160" w:hanging="180"/>
      </w:pPr>
    </w:lvl>
    <w:lvl w:ilvl="3" w:tplc="17436903" w:tentative="1">
      <w:start w:val="1"/>
      <w:numFmt w:val="decimal"/>
      <w:lvlText w:val="%4."/>
      <w:lvlJc w:val="left"/>
      <w:pPr>
        <w:ind w:left="2880" w:hanging="360"/>
      </w:pPr>
    </w:lvl>
    <w:lvl w:ilvl="4" w:tplc="17436903" w:tentative="1">
      <w:start w:val="1"/>
      <w:numFmt w:val="lowerLetter"/>
      <w:lvlText w:val="%5."/>
      <w:lvlJc w:val="left"/>
      <w:pPr>
        <w:ind w:left="3600" w:hanging="360"/>
      </w:pPr>
    </w:lvl>
    <w:lvl w:ilvl="5" w:tplc="17436903" w:tentative="1">
      <w:start w:val="1"/>
      <w:numFmt w:val="lowerRoman"/>
      <w:lvlText w:val="%6."/>
      <w:lvlJc w:val="right"/>
      <w:pPr>
        <w:ind w:left="4320" w:hanging="180"/>
      </w:pPr>
    </w:lvl>
    <w:lvl w:ilvl="6" w:tplc="17436903" w:tentative="1">
      <w:start w:val="1"/>
      <w:numFmt w:val="decimal"/>
      <w:lvlText w:val="%7."/>
      <w:lvlJc w:val="left"/>
      <w:pPr>
        <w:ind w:left="5040" w:hanging="360"/>
      </w:pPr>
    </w:lvl>
    <w:lvl w:ilvl="7" w:tplc="17436903" w:tentative="1">
      <w:start w:val="1"/>
      <w:numFmt w:val="lowerLetter"/>
      <w:lvlText w:val="%8."/>
      <w:lvlJc w:val="left"/>
      <w:pPr>
        <w:ind w:left="5760" w:hanging="360"/>
      </w:pPr>
    </w:lvl>
    <w:lvl w:ilvl="8" w:tplc="17436903" w:tentative="1">
      <w:start w:val="1"/>
      <w:numFmt w:val="lowerRoman"/>
      <w:lvlText w:val="%9."/>
      <w:lvlJc w:val="right"/>
      <w:pPr>
        <w:ind w:left="6480" w:hanging="180"/>
      </w:pPr>
    </w:lvl>
  </w:abstractNum>
  <w:abstractNum w:abstractNumId="99104920">
    <w:multiLevelType w:val="hybridMultilevel"/>
    <w:lvl w:ilvl="0" w:tplc="574057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104920">
    <w:abstractNumId w:val="99104920"/>
  </w:num>
  <w:num w:numId="99104921">
    <w:abstractNumId w:val="99104921"/>
  </w:num>
  <w:num w:numId="291780203">
    <w:abstractNumId w:val="291780203"/>
  </w:num>
  <w:num w:numId="865081619">
    <w:abstractNumId w:val="865081619"/>
  </w:num>
  <w:num w:numId="99104922">
    <w:abstractNumId w:val="99104922"/>
  </w:num>
  <w:num w:numId="70136193">
    <w:abstractNumId w:val="70136193"/>
  </w:num>
  <w:num w:numId="221403786">
    <w:abstractNumId w:val="221403786"/>
  </w:num>
  <w:num w:numId="93388269">
    <w:abstractNumId w:val="93388269"/>
  </w:num>
  <w:num w:numId="411605218">
    <w:abstractNumId w:val="411605218"/>
  </w:num>
  <w:num w:numId="831164105">
    <w:abstractNumId w:val="831164105"/>
  </w:num>
  <w:num w:numId="473563560">
    <w:abstractNumId w:val="473563560"/>
  </w:num>
  <w:num w:numId="758473707">
    <w:abstractNumId w:val="758473707"/>
  </w:num>
  <w:num w:numId="581052755">
    <w:abstractNumId w:val="581052755"/>
  </w:num>
  <w:num w:numId="573627713">
    <w:abstractNumId w:val="573627713"/>
  </w:num>
  <w:num w:numId="424574194">
    <w:abstractNumId w:val="424574194"/>
  </w:num>
  <w:num w:numId="568247876">
    <w:abstractNumId w:val="568247876"/>
  </w:num>
  <w:num w:numId="498929486">
    <w:abstractNumId w:val="4989294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675866014" Type="http://schemas.openxmlformats.org/officeDocument/2006/relationships/numbering" Target="numbering.xml"/><Relationship Id="rId313713883"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