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161509" w:name="document"/>
    <w:bookmarkEnd w:id="17161509"/>
    <w:p/>
    <w:p>
      <w:pPr>
        <w:widowControl w:val="on"/>
        <w:pBdr/>
        <w:spacing w:before="0" w:after="280" w:line="240" w:lineRule="auto"/>
        <w:ind w:left="0" w:right="0"/>
        <w:jc w:val="left"/>
      </w:pPr>
      <w:r>
        <w:rPr>
          <w:rFonts w:ascii="Arial" w:hAnsi="Arial" w:eastAsia="Arial" w:cs="Arial"/>
          <w:color w:val="363A40"/>
          <w:sz w:val="24"/>
          <w:szCs w:val="24"/>
        </w:rPr>
        <w:t xml:space="preserve">Dokument-ID: 737345 | Claudia Sorgo - Astrid
Maitz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gebrauchte, bewegliche Sache</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Herrn/Frau …, Anschrift … als
Verkäufer/in und in der Folge kurz als solche/r bezeichnet
einerseits, und</w:t>
      </w:r>
    </w:p>
    <w:p>
      <w:pPr>
        <w:widowControl w:val="on"/>
        <w:pBdr/>
        <w:spacing w:before="140" w:after="240" w:line="288" w:lineRule="auto"/>
        <w:ind w:left="0" w:right="0"/>
        <w:jc w:val="left"/>
      </w:pPr>
      <w:r>
        <w:rPr>
          <w:rFonts w:ascii="Arial" w:hAnsi="Arial" w:eastAsia="Arial" w:cs="Arial"/>
          <w:color w:val="000000"/>
          <w:sz w:val="20"/>
          <w:szCs w:val="20"/>
        </w:rPr>
        <w:t xml:space="preserve">Herrn/Frau …, Anschrift … als Käufer/in und in der Folge kurz
als solche/r bezeichnet andererseits, am heutigen Tag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Kaufgegenstand</w:t>
      </w:r>
    </w:p>
    <w:p>
      <w:pPr>
        <w:widowControl w:val="on"/>
        <w:pBdr/>
        <w:spacing w:before="140" w:after="240" w:line="288" w:lineRule="auto"/>
        <w:ind w:left="0" w:right="0"/>
        <w:jc w:val="left"/>
      </w:pPr>
      <w:r>
        <w:rPr>
          <w:rFonts w:ascii="Arial" w:hAnsi="Arial" w:eastAsia="Arial" w:cs="Arial"/>
          <w:color w:val="000000"/>
          <w:sz w:val="20"/>
          <w:szCs w:val="20"/>
        </w:rPr>
        <w:t xml:space="preserve">Der/die Verkäufer/in ist Eigentümer/in des gebrauchten
Kleiderschrankes der Marke …, Herstellungsjahr …, im Ausmaß von
250 cm x 180 x 60 cm.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Kaufvereinbarung und
Kaufpreis</w:t>
      </w:r>
    </w:p>
    <w:p>
      <w:pPr>
        <w:numPr>
          <w:ilvl w:val="0"/>
          <w:numId w:val="198812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Verkäufer/in verkauft und übergibt und der/die
Käufer/in kauft und übernimmt den in Pkt I. dieses Vertrages
näher bezeichneten Kaufgegenstand um den beiderseits ausdrücklich
vereinbarten Pauschalkaufpreis von EUR … (in Worten: …
Euro).</w:t>
      </w:r>
    </w:p>
    <w:p>
      <w:pPr>
        <w:numPr>
          <w:ilvl w:val="0"/>
          <w:numId w:val="198812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Käufer/in leistet bei Vertragsunterfertigung eine bare
Anzahlung von EUR … (in Worten: … Euro) deren Erhalt von
dem/der Verkäufer/in hiermit bestätigt wird.</w:t>
      </w:r>
    </w:p>
    <w:p>
      <w:pPr>
        <w:widowControl w:val="on"/>
        <w:pBdr/>
        <w:spacing w:before="140" w:after="240" w:line="288" w:lineRule="auto"/>
        <w:ind w:left="0" w:right="0"/>
        <w:jc w:val="left"/>
      </w:pPr>
      <w:r>
        <w:rPr>
          <w:rFonts w:ascii="Arial" w:hAnsi="Arial" w:eastAsia="Arial" w:cs="Arial"/>
          <w:color w:val="000000"/>
          <w:sz w:val="20"/>
          <w:szCs w:val="20"/>
        </w:rPr>
        <w:t xml:space="preserve">Der Restkaufpreis von EUR … (in Worten: … Euro) ist in zwei
gleichbleibenden Raten von je EUR … zu bezahlen, wobei die
erste Rate am … fällig wird. Die folgende Rate ist am Ersten des
darauffolgenden Monats bei 5-tägigem Respiro zu bezahlen, wobei die
vereinbarten Raten jeweils am angeführten Fälligkeitstag dem/der
Verkäufer/in bar zu übergeben ist oder spätestens an diesem Tag auf
dessen/deren Konto bei der [Bank] …, IBAN … gutgeschrieben sein
muss.</w:t>
      </w:r>
    </w:p>
    <w:p>
      <w:pPr>
        <w:widowControl w:val="on"/>
        <w:pBdr/>
        <w:spacing w:before="140" w:after="240" w:line="288" w:lineRule="auto"/>
        <w:ind w:left="0" w:right="0"/>
        <w:jc w:val="left"/>
      </w:pPr>
      <w:r>
        <w:rPr>
          <w:rFonts w:ascii="Arial" w:hAnsi="Arial" w:eastAsia="Arial" w:cs="Arial"/>
          <w:color w:val="000000"/>
          <w:sz w:val="20"/>
          <w:szCs w:val="20"/>
        </w:rPr>
        <w:t xml:space="preserve">Der/die Käufer/in verpflichtet sich, bei Zahlungsverzug … %
Verzugszinsen jährlich vom Tag der Fälligkeit an zu entrichten.</w:t>
      </w:r>
    </w:p>
    <w:p>
      <w:pPr>
        <w:widowControl w:val="on"/>
        <w:pBdr/>
        <w:spacing w:before="140" w:after="240" w:line="288" w:lineRule="auto"/>
        <w:ind w:left="0" w:right="0"/>
        <w:jc w:val="left"/>
      </w:pPr>
      <w:r>
        <w:rPr>
          <w:rFonts w:ascii="Arial" w:hAnsi="Arial" w:eastAsia="Arial" w:cs="Arial"/>
          <w:color w:val="000000"/>
          <w:sz w:val="20"/>
          <w:szCs w:val="20"/>
        </w:rPr>
        <w:t xml:space="preserve">Nicht im Kaufpreis enthalten sind Kosten des Transports, der
Montage oder Aufstellung, des Zolls oder sonstige Nebenkosten.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numPr>
          <w:ilvl w:val="0"/>
          <w:numId w:val="223236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Käufer/in hat das Kaufobjekt eingehend besichtigt und
getestet. Das Kaufobjekt wird verkauft wie besichtigt. Für Mängel,
welcher Art auch immer, wird von dem/der Verkäufer/in keine Gewähr
übernommen. Es liegt ein Geschäft zwischen zwei Verbrauchern vor.
Der/die Verkäufer/in haftet jedoch dafür, dass der im Pkt I.
dieses Vertrages näher beschriebene Kaufgegenstand frei von Rechten
Dritter ist und das ihm/ihr keine verborgenen Mängel bekannt
sind.</w:t>
      </w:r>
    </w:p>
    <w:p>
      <w:pPr>
        <w:numPr>
          <w:ilvl w:val="0"/>
          <w:numId w:val="223236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Käufer/in bestätigt mit Unterfertigung des
gegenständlichen Vertrages die Übernahme des Kaufgegenstandes.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Eine Aufrechnung gegen Ansprüche des Verkäufers mit Forderungen
des Käufers, welcher Art auch immer, ist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vereinbaren ausdrücklich
Eigentumsvorbehalt.</w:t>
      </w:r>
    </w:p>
    <w:p>
      <w:pPr>
        <w:widowControl w:val="on"/>
        <w:pBdr/>
        <w:spacing w:before="140" w:after="240" w:line="288" w:lineRule="auto"/>
        <w:ind w:left="0" w:right="0"/>
        <w:jc w:val="left"/>
      </w:pPr>
      <w:r>
        <w:rPr>
          <w:rFonts w:ascii="Arial" w:hAnsi="Arial" w:eastAsia="Arial" w:cs="Arial"/>
          <w:color w:val="000000"/>
          <w:sz w:val="20"/>
          <w:szCs w:val="20"/>
        </w:rPr>
        <w:t xml:space="preserve">Der/die Käufer/in ist somit ausdrücklich damit einverstanden,
dass der Verkaufsgegenstand bis zur vollständigen Bezahlung des
vereinbarten Kaufpreises weiterhin im Eigentum des/der
Verkäufers/in bleibt. Der/die Käufer/in verpflichtet sich, den
ihm/ihr anvertrauten Kaufgegenstand schonend zu behandeln und weder
zu veräußern, zu verpfänden, zu vermieten, zu verleihen oder ins
Ausland zu schaffen. Ferner verpflichtet er/sie sich, den/die
Verkäufer/in unverzüglich zu benachrichtigen und ihm/ihr die Kosten
einer eventuell notwendigen Exszindierungsklage zu ersetzen, wenn
der Kaufgegenstand von dritter Seite gepfändet werden sollte. Bei
einem Pfändungsakt wird der/die Käufer/in gegenüber dem
Gerichtsvollzieher das Eigentumsrecht des/der Verkäufer/in unter
Nennung des Namens und der Adresse des/der Verkäufer/in
behaupten.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Im Falle von Streitigkeiten aus diesem Vertrag vereinbaren die
Vertragsparteien die ausschließliche Zuständigkeit des sachlich
zuständigen Gerichtes in [Ort] …</w:t>
      </w:r>
    </w:p>
    <w:p>
      <w:pPr>
        <w:widowControl w:val="on"/>
        <w:pBdr/>
        <w:spacing w:before="140" w:after="240" w:line="288" w:lineRule="auto"/>
        <w:ind w:left="0" w:right="0"/>
        <w:jc w:val="left"/>
      </w:pPr>
      <w:r>
        <w:rPr>
          <w:rFonts w:ascii="Arial" w:hAnsi="Arial" w:eastAsia="Arial" w:cs="Arial"/>
          <w:color w:val="000000"/>
          <w:sz w:val="20"/>
          <w:szCs w:val="20"/>
        </w:rPr>
        <w:t xml:space="preserve">Es bestehen keine mündlichen Nebenabreden oder
Zusicherungen.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[Verkäufer/in]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[Käufer/in]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III. 1.</w:t>
      </w:r>
    </w:p>
    <w:p>
      <w:pPr>
        <w:widowControl w:val="on"/>
        <w:pBdr/>
        <w:spacing w:before="140" w:after="240" w:line="288" w:lineRule="auto"/>
        <w:ind w:left="0" w:right="0"/>
        <w:jc w:val="left"/>
      </w:pPr>
      <w:r>
        <w:rPr>
          <w:rFonts w:ascii="Arial" w:hAnsi="Arial" w:eastAsia="Arial" w:cs="Arial"/>
          <w:color w:val="000000"/>
          <w:sz w:val="20"/>
          <w:szCs w:val="20"/>
        </w:rPr>
        <w:t xml:space="preserve">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Ein gänzlicher oder teilweiser Verzicht auf Gewährleistung so
wie im gegenständlichen Vertragsmuster ist grundsätzlich zulässig,
sofern der Ausschluss nach § 879 ABGB nicht sittenwidrig oder
überhaupt gesetzlich ausgeschlossen ist. So kann die Gewährleistung
nach den Bestimmungen des KSchG sohin bei einem Verbrauchergeschäft
nicht rechtswirksam ausgeschlossen werden. Der
Gewährleistungsausschluss ist allerdings für Rechtsmängel nicht
wirksam. Müssen daher Sachen wegen Eigentum Dritter herausgegeben
werden, hat der Veräußerer für den Rechtsmangel einzustehen.
Arglistig verschwiegene Mängel oder ausdrücklich bzw schlüssig
zugesicherte Eigenschaften sind von einem Gewährleistungsverzicht
nicht umfasst.</w:t>
      </w:r>
    </w:p>
    <w:p>
      <w:pPr>
        <w:widowControl w:val="on"/>
        <w:pBdr/>
        <w:spacing w:before="140" w:after="240" w:line="288" w:lineRule="auto"/>
        <w:ind w:left="0" w:right="0"/>
        <w:jc w:val="left"/>
      </w:pPr>
      <w:r>
        <w:rPr>
          <w:rFonts w:ascii="Arial" w:hAnsi="Arial" w:eastAsia="Arial" w:cs="Arial"/>
          <w:color w:val="000000"/>
          <w:sz w:val="20"/>
          <w:szCs w:val="20"/>
        </w:rPr>
        <w:t xml:space="preserve">Am 01.01.2022 trat die Novelle zum Gewährleistungsrecht in
Kraft, durch welche zwei EU-Richtlinien umgesetzt wurden. Dabei
gilt die Gewährleistungsfrist unverändert 2 Jahre. Bei gebrauchten
Kraftfahrzeugen kann die Frist allerdings auf ein Jahr verkürzt
werden, sofern seit dem Tag der ersten Zulassung mehr als ein Jahr
verstrichen ist und dies im Einzelnen mit dem Verbraucher
ausgehandelt wurde (Regelung in AGB daher nicht möglich).</w:t>
      </w:r>
    </w:p>
    <w:p>
      <w:pPr>
        <w:widowControl w:val="on"/>
        <w:pBdr/>
        <w:spacing w:before="140" w:after="240" w:line="288" w:lineRule="auto"/>
        <w:ind w:left="0" w:right="0"/>
        <w:jc w:val="left"/>
      </w:pPr>
      <w:r>
        <w:rPr>
          <w:rFonts w:ascii="Arial" w:hAnsi="Arial" w:eastAsia="Arial" w:cs="Arial"/>
          <w:color w:val="000000"/>
          <w:sz w:val="20"/>
          <w:szCs w:val="20"/>
        </w:rPr>
        <w:t xml:space="preserve">Zusicherung:</w:t>
      </w:r>
    </w:p>
    <w:p>
      <w:pPr>
        <w:widowControl w:val="on"/>
        <w:pBdr/>
        <w:spacing w:before="140" w:after="240" w:line="288" w:lineRule="auto"/>
        <w:ind w:left="0" w:right="0"/>
        <w:jc w:val="left"/>
      </w:pPr>
      <w:r>
        <w:rPr>
          <w:rFonts w:ascii="Arial" w:hAnsi="Arial" w:eastAsia="Arial" w:cs="Arial"/>
          <w:color w:val="000000"/>
          <w:sz w:val="20"/>
          <w:szCs w:val="20"/>
        </w:rPr>
        <w:t xml:space="preserve">Der Veräußerer haftet für die Zusicherung besonderer
Eigenschaften des Kaufobjektes. Selbst wenn diese Eigenschaften vom
Verkehr als unerheblich betrachtet werden, hat der Veräußerer bei
besonderer Zusage dafür einzustehen. Die Zusage besonderer
Eigenschaften ist allerdings kein Garantieversprechen iSd
§ 880a ABGB, sondern lediglich als gewöhnliches
Qualitätsversprechen zu werten. Die Zusage besonderer Eigenschaften
muss nicht ausdrücklich, sondern kann auch stillschweigend
erfolgen.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III. 2.</w:t>
      </w:r>
    </w:p>
    <w:p>
      <w:pPr>
        <w:widowControl w:val="on"/>
        <w:pBdr/>
        <w:spacing w:before="140" w:after="240" w:line="288" w:lineRule="auto"/>
        <w:ind w:left="0" w:right="0"/>
        <w:jc w:val="left"/>
      </w:pPr>
      <w:r>
        <w:rPr>
          <w:rFonts w:ascii="Arial" w:hAnsi="Arial" w:eastAsia="Arial" w:cs="Arial"/>
          <w:color w:val="000000"/>
          <w:sz w:val="20"/>
          <w:szCs w:val="20"/>
        </w:rPr>
        <w:t xml:space="preserve">Gefahrenübergang/Preisgefahr:</w:t>
      </w:r>
    </w:p>
    <w:p>
      <w:pPr>
        <w:widowControl w:val="on"/>
        <w:pBdr/>
        <w:spacing w:before="140" w:after="240" w:line="288" w:lineRule="auto"/>
        <w:ind w:left="0" w:right="0"/>
        <w:jc w:val="left"/>
      </w:pPr>
      <w:r>
        <w:rPr>
          <w:rFonts w:ascii="Arial" w:hAnsi="Arial" w:eastAsia="Arial" w:cs="Arial"/>
          <w:color w:val="000000"/>
          <w:sz w:val="20"/>
          <w:szCs w:val="20"/>
        </w:rPr>
        <w:t xml:space="preserve">Der Gefahrenübergang ist nicht, so wie im gegenständlichen
Vertragsmuster, notwendigerweise auch mit dem Eigentumsübergang an
den Käufer verknüpft. Gefahrenübergang und Eigentumsübergang fallen
auseinander wenn, so wie im gegenständlichen Fall, ein
Eigentumsvorbehalt vereinbart wurde; aber auch zB dann, wenn der
Eigentumsübergang vom Eintritt einer Bedingung (behördliche
Genehmigung usw) abhängig gemacht wird.</w:t>
      </w:r>
    </w:p>
    <w:p>
      <w:pPr>
        <w:widowControl w:val="on"/>
        <w:pBdr/>
        <w:spacing w:before="140" w:after="240" w:line="288" w:lineRule="auto"/>
        <w:ind w:left="0" w:right="0"/>
        <w:jc w:val="left"/>
      </w:pPr>
      <w:r>
        <w:rPr>
          <w:rFonts w:ascii="Arial" w:hAnsi="Arial" w:eastAsia="Arial" w:cs="Arial"/>
          <w:color w:val="000000"/>
          <w:sz w:val="20"/>
          <w:szCs w:val="20"/>
        </w:rPr>
        <w:t xml:space="preserve">Beim Kauf unter Eigentumsvorbehalt geht mit der Übergabe der
Sache die Preisgefahr auf den Käufer über, obwohl der Verkäufer
weiterhin, bis zum Bedingungseintritt bzw vollständiger Bezahlung
des Kaufpreises, Eigentümer der Sache bleibt. Besonders zu
berücksichtigen sind Bestimmungen zum Gefahrenübergang, wenn eine
Ware versandt werden soll.</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IV.</w:t>
      </w:r>
    </w:p>
    <w:p>
      <w:pPr>
        <w:widowControl w:val="on"/>
        <w:pBdr/>
        <w:spacing w:before="140" w:after="240" w:line="288" w:lineRule="auto"/>
        <w:ind w:left="0" w:right="0"/>
        <w:jc w:val="left"/>
      </w:pPr>
      <w:r>
        <w:rPr>
          <w:rFonts w:ascii="Arial" w:hAnsi="Arial" w:eastAsia="Arial" w:cs="Arial"/>
          <w:color w:val="000000"/>
          <w:sz w:val="20"/>
          <w:szCs w:val="20"/>
        </w:rPr>
        <w:t xml:space="preserve">Eigentumsvorbehalt wird gewöhnlich zwischen den Vertragsparteien
bei einem Ratenkauf vereinbart, aufgrund dessen das Eigentum bis
zur vollständigen Bezahlung des vereinbarten Kaufpreises trotz
Übergabe des Kaufgegenstandes beim Verkäufer verbleibt. Rechtliche
Konsequenz dieser Vereinbarung ist, dass der Kaufvertrag als
aufschiebend bedingt anzusehen ist und der Käufer erst mit
vollständiger Bezahlung des Kaufpreises Eigentümer der Ware wird.
Bis zum gültigen Eigentumserwerb ist der Käufer durch Übergabe des
Kaufgegenstandes an ihn Besitzer und genießt Besitzschutz gegen
Dritte. Die Vereinbarung des Eigentumsvorbehaltes bedarf einer
vertraglichen Nebenabrede zu der rechtsgeschäftlichen Vereinbarung.
Ist der Eigentumsvorbehalt Vertragsbestandteil, so ist der
Eigentumsvorbehalt auch dann rechtswirksam vereinbart, wenn der
Käufer die Vorbehaltsklausel nicht gekannt oder überlesen hat.</w:t>
      </w:r>
    </w:p>
    <w:p>
      <w:pPr>
        <w:widowControl w:val="on"/>
        <w:pBdr/>
        <w:spacing w:before="140" w:after="240" w:line="288" w:lineRule="auto"/>
        <w:ind w:left="0" w:right="0"/>
        <w:jc w:val="left"/>
      </w:pPr>
      <w:r>
        <w:rPr>
          <w:rFonts w:ascii="Arial" w:hAnsi="Arial" w:eastAsia="Arial" w:cs="Arial"/>
          <w:color w:val="000000"/>
          <w:sz w:val="20"/>
          <w:szCs w:val="20"/>
        </w:rPr>
        <w:t xml:space="preserve">Der Eigentumsvorbehalt dient dem Verkäufer sowohl zur dinglichen
Sicherung seiner Forderung, als auch zur Absicherung seines
Rückforderungsanspruches bei Vertragsrücktritt.</w:t>
      </w:r>
    </w:p>
    <w:p>
      <w:pPr>
        <w:widowControl w:val="on"/>
        <w:pBdr/>
        <w:spacing w:before="140" w:after="240" w:line="288" w:lineRule="auto"/>
        <w:ind w:left="0" w:right="0"/>
        <w:jc w:val="left"/>
      </w:pPr>
      <w:r>
        <w:rPr>
          <w:rFonts w:ascii="Arial" w:hAnsi="Arial" w:eastAsia="Arial" w:cs="Arial"/>
          <w:color w:val="000000"/>
          <w:sz w:val="20"/>
          <w:szCs w:val="20"/>
        </w:rPr>
        <w:t xml:space="preserve">Nach ständiger Rechtsprechung kann sich der Eigentumsvorbehalt
auf alle Sachen beziehen, die Gegenstand übertragbaren Eigentums
sein können. Strittig ist allerdings, ob ein Eigentumsvorbehalt
bezüglich unkörperlicher Sachen wirksam ist. Wie bereits zu
Anmerkung 1 erwähnt, geht bei Kauf unter Eigentumsvorbehalt die
Preisgefahr schon mit der Übergabe der Ware auf den Käufer über.
Der Eigentumsvorbehalt erlischt im Normalfall mit
Bedingungseintritt, dh mit vollständiger Zahlung durch den Käufer,
wobei im Falle seines Zahlungsverzuges davon auch die dadurch
entstandenen Zinsen und Kosten mitumfasst sein müssen.</w:t>
      </w:r>
    </w:p>
    <w:p>
      <w:pPr>
        <w:widowControl w:val="on"/>
        <w:pBdr/>
        <w:spacing w:before="140" w:after="240" w:line="288" w:lineRule="auto"/>
        <w:ind w:left="0" w:right="0"/>
        <w:jc w:val="left"/>
      </w:pPr>
      <w:r>
        <w:rPr>
          <w:rFonts w:ascii="Arial" w:hAnsi="Arial" w:eastAsia="Arial" w:cs="Arial"/>
          <w:color w:val="000000"/>
          <w:sz w:val="20"/>
          <w:szCs w:val="20"/>
        </w:rPr>
        <w:t xml:space="preserve">§ 21 IO kommt auch beim Kauf unter Eigentumsvorbehalt zur
Anwendung (OGH 26.01.2017, 9 Ob 40/16x).</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23617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988120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461993">
    <w:multiLevelType w:val="hybridMultilevel"/>
    <w:lvl w:ilvl="0" w:tplc="50848143">
      <w:start w:val="1"/>
      <w:numFmt w:val="decimal"/>
      <w:lvlText w:val="%1."/>
      <w:lvlJc w:val="left"/>
      <w:pPr>
        <w:ind w:left="720" w:hanging="360"/>
      </w:pPr>
    </w:lvl>
    <w:lvl w:ilvl="1" w:tplc="50848143" w:tentative="1">
      <w:start w:val="1"/>
      <w:numFmt w:val="lowerLetter"/>
      <w:lvlText w:val="%2."/>
      <w:lvlJc w:val="left"/>
      <w:pPr>
        <w:ind w:left="1440" w:hanging="360"/>
      </w:pPr>
    </w:lvl>
    <w:lvl w:ilvl="2" w:tplc="50848143" w:tentative="1">
      <w:start w:val="1"/>
      <w:numFmt w:val="lowerRoman"/>
      <w:lvlText w:val="%3."/>
      <w:lvlJc w:val="right"/>
      <w:pPr>
        <w:ind w:left="2160" w:hanging="180"/>
      </w:pPr>
    </w:lvl>
    <w:lvl w:ilvl="3" w:tplc="50848143" w:tentative="1">
      <w:start w:val="1"/>
      <w:numFmt w:val="decimal"/>
      <w:lvlText w:val="%4."/>
      <w:lvlJc w:val="left"/>
      <w:pPr>
        <w:ind w:left="2880" w:hanging="360"/>
      </w:pPr>
    </w:lvl>
    <w:lvl w:ilvl="4" w:tplc="50848143" w:tentative="1">
      <w:start w:val="1"/>
      <w:numFmt w:val="lowerLetter"/>
      <w:lvlText w:val="%5."/>
      <w:lvlJc w:val="left"/>
      <w:pPr>
        <w:ind w:left="3600" w:hanging="360"/>
      </w:pPr>
    </w:lvl>
    <w:lvl w:ilvl="5" w:tplc="50848143" w:tentative="1">
      <w:start w:val="1"/>
      <w:numFmt w:val="lowerRoman"/>
      <w:lvlText w:val="%6."/>
      <w:lvlJc w:val="right"/>
      <w:pPr>
        <w:ind w:left="4320" w:hanging="180"/>
      </w:pPr>
    </w:lvl>
    <w:lvl w:ilvl="6" w:tplc="50848143" w:tentative="1">
      <w:start w:val="1"/>
      <w:numFmt w:val="decimal"/>
      <w:lvlText w:val="%7."/>
      <w:lvlJc w:val="left"/>
      <w:pPr>
        <w:ind w:left="5040" w:hanging="360"/>
      </w:pPr>
    </w:lvl>
    <w:lvl w:ilvl="7" w:tplc="50848143" w:tentative="1">
      <w:start w:val="1"/>
      <w:numFmt w:val="lowerLetter"/>
      <w:lvlText w:val="%8."/>
      <w:lvlJc w:val="left"/>
      <w:pPr>
        <w:ind w:left="5760" w:hanging="360"/>
      </w:pPr>
    </w:lvl>
    <w:lvl w:ilvl="8" w:tplc="50848143" w:tentative="1">
      <w:start w:val="1"/>
      <w:numFmt w:val="lowerRoman"/>
      <w:lvlText w:val="%9."/>
      <w:lvlJc w:val="right"/>
      <w:pPr>
        <w:ind w:left="6480" w:hanging="180"/>
      </w:pPr>
    </w:lvl>
  </w:abstractNum>
  <w:abstractNum w:abstractNumId="66461992">
    <w:multiLevelType w:val="hybridMultilevel"/>
    <w:lvl w:ilvl="0" w:tplc="80913669">
      <w:start w:val="1"/>
      <w:numFmt w:val="decimal"/>
      <w:lvlText w:val="%1."/>
      <w:lvlJc w:val="left"/>
      <w:pPr>
        <w:ind w:left="720" w:hanging="360"/>
      </w:pPr>
    </w:lvl>
    <w:lvl w:ilvl="1" w:tplc="80913669" w:tentative="1">
      <w:start w:val="1"/>
      <w:numFmt w:val="lowerLetter"/>
      <w:lvlText w:val="%2."/>
      <w:lvlJc w:val="left"/>
      <w:pPr>
        <w:ind w:left="1440" w:hanging="360"/>
      </w:pPr>
    </w:lvl>
    <w:lvl w:ilvl="2" w:tplc="80913669" w:tentative="1">
      <w:start w:val="1"/>
      <w:numFmt w:val="lowerRoman"/>
      <w:lvlText w:val="%3."/>
      <w:lvlJc w:val="right"/>
      <w:pPr>
        <w:ind w:left="2160" w:hanging="180"/>
      </w:pPr>
    </w:lvl>
    <w:lvl w:ilvl="3" w:tplc="80913669" w:tentative="1">
      <w:start w:val="1"/>
      <w:numFmt w:val="decimal"/>
      <w:lvlText w:val="%4."/>
      <w:lvlJc w:val="left"/>
      <w:pPr>
        <w:ind w:left="2880" w:hanging="360"/>
      </w:pPr>
    </w:lvl>
    <w:lvl w:ilvl="4" w:tplc="80913669" w:tentative="1">
      <w:start w:val="1"/>
      <w:numFmt w:val="lowerLetter"/>
      <w:lvlText w:val="%5."/>
      <w:lvlJc w:val="left"/>
      <w:pPr>
        <w:ind w:left="3600" w:hanging="360"/>
      </w:pPr>
    </w:lvl>
    <w:lvl w:ilvl="5" w:tplc="80913669" w:tentative="1">
      <w:start w:val="1"/>
      <w:numFmt w:val="lowerRoman"/>
      <w:lvlText w:val="%6."/>
      <w:lvlJc w:val="right"/>
      <w:pPr>
        <w:ind w:left="4320" w:hanging="180"/>
      </w:pPr>
    </w:lvl>
    <w:lvl w:ilvl="6" w:tplc="80913669" w:tentative="1">
      <w:start w:val="1"/>
      <w:numFmt w:val="decimal"/>
      <w:lvlText w:val="%7."/>
      <w:lvlJc w:val="left"/>
      <w:pPr>
        <w:ind w:left="5040" w:hanging="360"/>
      </w:pPr>
    </w:lvl>
    <w:lvl w:ilvl="7" w:tplc="80913669" w:tentative="1">
      <w:start w:val="1"/>
      <w:numFmt w:val="lowerLetter"/>
      <w:lvlText w:val="%8."/>
      <w:lvlJc w:val="left"/>
      <w:pPr>
        <w:ind w:left="5760" w:hanging="360"/>
      </w:pPr>
    </w:lvl>
    <w:lvl w:ilvl="8" w:tplc="80913669" w:tentative="1">
      <w:start w:val="1"/>
      <w:numFmt w:val="lowerRoman"/>
      <w:lvlText w:val="%9."/>
      <w:lvlJc w:val="right"/>
      <w:pPr>
        <w:ind w:left="6480" w:hanging="180"/>
      </w:pPr>
    </w:lvl>
  </w:abstractNum>
  <w:abstractNum w:abstractNumId="70402288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461991">
    <w:multiLevelType w:val="hybridMultilevel"/>
    <w:lvl w:ilvl="0" w:tplc="31676943">
      <w:start w:val="1"/>
      <w:numFmt w:val="decimal"/>
      <w:lvlText w:val="%1."/>
      <w:lvlJc w:val="left"/>
      <w:pPr>
        <w:ind w:left="720" w:hanging="360"/>
      </w:pPr>
    </w:lvl>
    <w:lvl w:ilvl="1" w:tplc="31676943" w:tentative="1">
      <w:start w:val="1"/>
      <w:numFmt w:val="lowerLetter"/>
      <w:lvlText w:val="%2."/>
      <w:lvlJc w:val="left"/>
      <w:pPr>
        <w:ind w:left="1440" w:hanging="360"/>
      </w:pPr>
    </w:lvl>
    <w:lvl w:ilvl="2" w:tplc="31676943" w:tentative="1">
      <w:start w:val="1"/>
      <w:numFmt w:val="lowerRoman"/>
      <w:lvlText w:val="%3."/>
      <w:lvlJc w:val="right"/>
      <w:pPr>
        <w:ind w:left="2160" w:hanging="180"/>
      </w:pPr>
    </w:lvl>
    <w:lvl w:ilvl="3" w:tplc="31676943" w:tentative="1">
      <w:start w:val="1"/>
      <w:numFmt w:val="decimal"/>
      <w:lvlText w:val="%4."/>
      <w:lvlJc w:val="left"/>
      <w:pPr>
        <w:ind w:left="2880" w:hanging="360"/>
      </w:pPr>
    </w:lvl>
    <w:lvl w:ilvl="4" w:tplc="31676943" w:tentative="1">
      <w:start w:val="1"/>
      <w:numFmt w:val="lowerLetter"/>
      <w:lvlText w:val="%5."/>
      <w:lvlJc w:val="left"/>
      <w:pPr>
        <w:ind w:left="3600" w:hanging="360"/>
      </w:pPr>
    </w:lvl>
    <w:lvl w:ilvl="5" w:tplc="31676943" w:tentative="1">
      <w:start w:val="1"/>
      <w:numFmt w:val="lowerRoman"/>
      <w:lvlText w:val="%6."/>
      <w:lvlJc w:val="right"/>
      <w:pPr>
        <w:ind w:left="4320" w:hanging="180"/>
      </w:pPr>
    </w:lvl>
    <w:lvl w:ilvl="6" w:tplc="31676943" w:tentative="1">
      <w:start w:val="1"/>
      <w:numFmt w:val="decimal"/>
      <w:lvlText w:val="%7."/>
      <w:lvlJc w:val="left"/>
      <w:pPr>
        <w:ind w:left="5040" w:hanging="360"/>
      </w:pPr>
    </w:lvl>
    <w:lvl w:ilvl="7" w:tplc="31676943" w:tentative="1">
      <w:start w:val="1"/>
      <w:numFmt w:val="lowerLetter"/>
      <w:lvlText w:val="%8."/>
      <w:lvlJc w:val="left"/>
      <w:pPr>
        <w:ind w:left="5760" w:hanging="360"/>
      </w:pPr>
    </w:lvl>
    <w:lvl w:ilvl="8" w:tplc="31676943" w:tentative="1">
      <w:start w:val="1"/>
      <w:numFmt w:val="lowerRoman"/>
      <w:lvlText w:val="%9."/>
      <w:lvlJc w:val="right"/>
      <w:pPr>
        <w:ind w:left="6480" w:hanging="180"/>
      </w:pPr>
    </w:lvl>
  </w:abstractNum>
  <w:abstractNum w:abstractNumId="66461990">
    <w:multiLevelType w:val="hybridMultilevel"/>
    <w:lvl w:ilvl="0" w:tplc="30032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61990">
    <w:abstractNumId w:val="66461990"/>
  </w:num>
  <w:num w:numId="66461991">
    <w:abstractNumId w:val="66461991"/>
  </w:num>
  <w:num w:numId="704022883">
    <w:abstractNumId w:val="704022883"/>
  </w:num>
  <w:num w:numId="66461992">
    <w:abstractNumId w:val="66461992"/>
  </w:num>
  <w:num w:numId="66461993">
    <w:abstractNumId w:val="66461993"/>
  </w:num>
  <w:num w:numId="198812071">
    <w:abstractNumId w:val="198812071"/>
  </w:num>
  <w:num w:numId="223236173">
    <w:abstractNumId w:val="223236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83171483" Type="http://schemas.openxmlformats.org/officeDocument/2006/relationships/numbering" Target="numbering.xml"/><Relationship Id="rId3514755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