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7538234" w:name="document"/>
    <w:bookmarkEnd w:id="77538234"/>
    <w:p/>
    <w:p>
      <w:pPr>
        <w:widowControl w:val="on"/>
        <w:pBdr/>
        <w:spacing w:before="0" w:after="280" w:line="240" w:lineRule="auto"/>
        <w:ind w:left="0" w:right="0"/>
        <w:jc w:val="left"/>
      </w:pPr>
      <w:r>
        <w:rPr>
          <w:rFonts w:ascii="Arial" w:hAnsi="Arial" w:eastAsia="Arial" w:cs="Arial"/>
          <w:color w:val="363A40"/>
          <w:sz w:val="24"/>
          <w:szCs w:val="24"/>
        </w:rPr>
        <w:t xml:space="preserve">Dokument-ID: 1033059 | Sabine Barbach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Fristerstreckungsantrag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Hietzing</w:t>
      </w:r>
      <w:r>
        <w:rPr>
          <w:rFonts w:ascii="Arial" w:hAnsi="Arial" w:eastAsia="Arial" w:cs="Arial"/>
          <w:color w:val="000000"/>
          <w:sz w:val="20"/>
          <w:szCs w:val="20"/>
        </w:rPr>
        <w:br/>
        <w:t xml:space="preserve">Hietzinger Kai 1–3</w:t>
      </w:r>
      <w:r>
        <w:rPr>
          <w:rFonts w:ascii="Arial" w:hAnsi="Arial" w:eastAsia="Arial" w:cs="Arial"/>
          <w:color w:val="000000"/>
          <w:sz w:val="20"/>
          <w:szCs w:val="20"/>
        </w:rPr>
        <w:br/>
        <w:t xml:space="preserve">1130 Wien</w:t>
      </w:r>
    </w:p>
    <w:p>
      <w:pPr>
        <w:widowControl w:val="on"/>
        <w:pBdr/>
        <w:spacing w:before="140" w:after="240" w:line="288" w:lineRule="auto"/>
        <w:ind w:left="0" w:right="0"/>
        <w:jc w:val="right"/>
      </w:pPr>
      <w:r>
        <w:rPr>
          <w:rFonts w:ascii="Arial" w:hAnsi="Arial" w:eastAsia="Arial" w:cs="Arial"/>
          <w:color w:val="000000"/>
          <w:sz w:val="20"/>
          <w:szCs w:val="20"/>
        </w:rPr>
        <w:t xml:space="preserve">GZ 7 C 125/30p</w:t>
      </w:r>
      <w:r>
        <w:rPr>
          <w:rFonts w:ascii="Arial" w:hAnsi="Arial" w:eastAsia="Arial" w:cs="Arial"/>
          <w:color w:val="000000"/>
          <w:sz w:val="20"/>
          <w:szCs w:val="20"/>
        </w:rPr>
        <w:br/>
        <w:t xml:space="preserve">Wien, am 22.09.2030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Mustermann GmbH</w:t>
            </w:r>
            <w:r>
              <w:rPr>
                <w:rFonts w:ascii="Arial" w:hAnsi="Arial" w:eastAsia="Arial" w:cs="Arial"/>
                <w:color w:val="000000"/>
                <w:position w:val="0"/>
                <w:sz w:val="20"/>
                <w:szCs w:val="20"/>
                <w:shd w:val="clear" w:color="auto" w:fill="FFFFFF"/>
              </w:rPr>
              <w:br/>
              <w:t xml:space="preserve">Rautenweg 12</w:t>
            </w:r>
            <w:r>
              <w:rPr>
                <w:rFonts w:ascii="Arial" w:hAnsi="Arial" w:eastAsia="Arial" w:cs="Arial"/>
                <w:color w:val="000000"/>
                <w:position w:val="0"/>
                <w:sz w:val="20"/>
                <w:szCs w:val="20"/>
                <w:shd w:val="clear" w:color="auto" w:fill="FFFFFF"/>
              </w:rPr>
              <w:br/>
              <w:t xml:space="preserve">1080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Herbert Beispiel</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Himmelgasse 14a</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Sandra Suche</w:t>
            </w:r>
            <w:r>
              <w:rPr>
                <w:rFonts w:ascii="Arial" w:hAnsi="Arial" w:eastAsia="Arial" w:cs="Arial"/>
                <w:color w:val="000000"/>
                <w:position w:val="0"/>
                <w:sz w:val="20"/>
                <w:szCs w:val="20"/>
                <w:shd w:val="clear" w:color="auto" w:fill="FFFFFF"/>
              </w:rPr>
              <w:br/>
              <w:t xml:space="preserve">Pfortenweg 113–114</w:t>
            </w:r>
            <w:r>
              <w:rPr>
                <w:rFonts w:ascii="Arial" w:hAnsi="Arial" w:eastAsia="Arial" w:cs="Arial"/>
                <w:color w:val="000000"/>
                <w:position w:val="0"/>
                <w:sz w:val="20"/>
                <w:szCs w:val="20"/>
                <w:shd w:val="clear" w:color="auto" w:fill="FFFFFF"/>
              </w:rPr>
              <w:br/>
              <w:t xml:space="preserve">1130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Hilfe und Recht</w:t>
            </w:r>
            <w:r>
              <w:rPr>
                <w:rFonts w:ascii="Arial" w:hAnsi="Arial" w:eastAsia="Arial" w:cs="Arial"/>
                <w:color w:val="000000"/>
                <w:position w:val="0"/>
                <w:sz w:val="20"/>
                <w:szCs w:val="20"/>
                <w:shd w:val="clear" w:color="auto" w:fill="FFFFFF"/>
              </w:rPr>
              <w:br/>
              <w:t xml:space="preserve">Rechtsanwälte GmbH</w:t>
            </w:r>
            <w:r>
              <w:rPr>
                <w:rFonts w:ascii="Arial" w:hAnsi="Arial" w:eastAsia="Arial" w:cs="Arial"/>
                <w:color w:val="000000"/>
                <w:position w:val="0"/>
                <w:sz w:val="20"/>
                <w:szCs w:val="20"/>
                <w:shd w:val="clear" w:color="auto" w:fill="FFFFFF"/>
              </w:rPr>
              <w:br/>
              <w:t xml:space="preserve">Sandgasse 20</w:t>
            </w:r>
            <w:r>
              <w:rPr>
                <w:rFonts w:ascii="Arial" w:hAnsi="Arial" w:eastAsia="Arial" w:cs="Arial"/>
                <w:color w:val="000000"/>
                <w:position w:val="0"/>
                <w:sz w:val="20"/>
                <w:szCs w:val="20"/>
                <w:shd w:val="clear" w:color="auto" w:fill="FFFFFF"/>
              </w:rPr>
              <w:br/>
              <w:t xml:space="preserve">1130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7.500,00 sA</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Fristerstreckungsantrag</w:t>
      </w:r>
    </w:p>
    <w:p>
      <w:pPr>
        <w:widowControl w:val="on"/>
        <w:pBdr/>
        <w:spacing w:before="140" w:after="240" w:line="288" w:lineRule="auto"/>
        <w:ind w:left="0" w:right="0"/>
        <w:jc w:val="right"/>
      </w:pPr>
      <w:r>
        <w:rPr>
          <w:rFonts w:ascii="Arial" w:hAnsi="Arial" w:eastAsia="Arial" w:cs="Arial"/>
          <w:color w:val="000000"/>
          <w:sz w:val="20"/>
          <w:szCs w:val="20"/>
        </w:rPr>
        <w:t xml:space="preserve">Gem § 112 ZPO wird die
Gleichschrift an den Gegenvertreter direkt übermittelt.</w:t>
      </w:r>
      <w:r>
        <w:rPr>
          <w:rFonts w:ascii="Arial" w:hAnsi="Arial" w:eastAsia="Arial" w:cs="Arial"/>
          <w:color w:val="000000"/>
          <w:sz w:val="20"/>
          <w:szCs w:val="20"/>
        </w:rPr>
        <w:b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Rechtssache wurde uns mit Beschluss vom
15.09.2030, zugestellt am 16.09.2030, aufgetragen, binnen drei
Wochen das gesamte Vorbringen zu erstatten.</w:t>
      </w:r>
    </w:p>
    <w:p>
      <w:pPr>
        <w:widowControl w:val="on"/>
        <w:pBdr/>
        <w:spacing w:before="140" w:after="240" w:line="288" w:lineRule="auto"/>
        <w:ind w:left="0" w:right="0"/>
        <w:jc w:val="left"/>
      </w:pPr>
      <w:r>
        <w:rPr>
          <w:rFonts w:ascii="Arial" w:hAnsi="Arial" w:eastAsia="Arial" w:cs="Arial"/>
          <w:color w:val="000000"/>
          <w:sz w:val="20"/>
          <w:szCs w:val="20"/>
        </w:rPr>
        <w:t xml:space="preserve">Da uns die Einholung aller für unser Vorbringen notwendigen
Unterlagen aufgrund der krankheitsbedingten Abwesenheit des
zuständigen Mitarbeiters unseres Unternehmens noch nicht möglich
war und überdies der beklagten Partei durch die Fristerstreckung
keine Nachteile erwachsen, stellen wir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Frist zur Erstattung des vorbereitenden Schriftsatzes bis
zum </w:t>
      </w:r>
      <w:r>
        <w:rPr>
          <w:rFonts w:ascii="Arial" w:hAnsi="Arial" w:eastAsia="Arial" w:cs="Arial"/>
          <w:b/>
          <w:bCs/>
          <w:color w:val="000000"/>
          <w:sz w:val="20"/>
          <w:szCs w:val="20"/>
        </w:rPr>
        <w:t xml:space="preserve">20.10.2030</w:t>
      </w:r>
      <w:r>
        <w:rPr>
          <w:rFonts w:ascii="Arial" w:hAnsi="Arial" w:eastAsia="Arial" w:cs="Arial"/>
          <w:color w:val="000000"/>
          <w:sz w:val="20"/>
          <w:szCs w:val="20"/>
        </w:rPr>
        <w:t xml:space="preserve"> zu erstrecken.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Mustermann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Nach § 128 ZPO können gesetzliche Fristen mit Ausnahme der
Notfristen sowie richterliche Fristen, hinsichtlich welcher das
Gesetz nichts anderes bestimmt, vom Gericht verlängert werden, wenn
die Partei, der die Frist zugutekommt, aus unabwendbaren oder doch
sehr erheblichen Gründen an der rechtzeitigen Vornahme der
befristeten Prozesshandlung gehindert ist und insbesondere ohne die
Fristverlängerung einen nicht wiedergutzumachenden Schaden erleiden
würde. Der Antrag muss vor Ablauf der Frist bei Gericht eingebracht
werden. Es kann bei der ersten derartigen Verlängerung ohne
vorhergehende mündliche Verhandlung entschieden werden. Die zur
Rechtfertigung des Antrags angeführten Umstände sind dem Gericht
auf Verlangen glaubhaft zu machen. Mangels hinreichender Begründung
ist der Antrag zu verwerfen.</w:t>
      </w:r>
    </w:p>
    <w:p>
      <w:pPr>
        <w:widowControl w:val="on"/>
        <w:pBdr/>
        <w:spacing w:before="140" w:after="240" w:line="288" w:lineRule="auto"/>
        <w:ind w:left="0" w:right="0"/>
        <w:jc w:val="left"/>
      </w:pPr>
      <w:r>
        <w:rPr>
          <w:rFonts w:ascii="Arial" w:hAnsi="Arial" w:eastAsia="Arial" w:cs="Arial"/>
          <w:color w:val="000000"/>
          <w:sz w:val="20"/>
          <w:szCs w:val="20"/>
        </w:rPr>
        <w:t xml:space="preserve">Eine Fristverlängerung ist daher nur zu bewilligen, wenn der
Antrag vor Ablauf der ursprünglichen Frist eingebracht wurde und
Gründe glaubhaft gemacht werden. Solange der Antrag nicht bewilligt
ist, wird die Frist nicht verlängert. Sie wird also nicht bereits
durch die Stellung des Verlängerungsantrags bis zu dessen
rechtskräftiger Erledigung verlängert. Dem Fristverlängerungsantrag
kommt somit keine aufschiebende Wirkung zu (OGH 2 Ob 161/11g).</w:t>
      </w:r>
    </w:p>
    <w:p>
      <w:pPr>
        <w:widowControl w:val="on"/>
        <w:pBdr/>
        <w:spacing w:before="140" w:after="240" w:line="288" w:lineRule="auto"/>
        <w:ind w:left="0" w:right="0"/>
        <w:jc w:val="left"/>
      </w:pPr>
      <w:r>
        <w:rPr>
          <w:rFonts w:ascii="Arial" w:hAnsi="Arial" w:eastAsia="Arial" w:cs="Arial"/>
          <w:color w:val="000000"/>
          <w:sz w:val="20"/>
          <w:szCs w:val="20"/>
        </w:rPr>
        <w:t xml:space="preserve">Erachtet das Gericht die Verlängerungsgründe als nicht genügend
bescheinigt oder die vorgebrachten Gründe weder als unabwendbar
noch als erheblich, hat es den Verlängerungsantrag zu „verwerfen“
(OGH 2 Ob 161/11g)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20332">
    <w:multiLevelType w:val="hybridMultilevel"/>
    <w:lvl w:ilvl="0" w:tplc="48290994">
      <w:start w:val="1"/>
      <w:numFmt w:val="decimal"/>
      <w:lvlText w:val="%1."/>
      <w:lvlJc w:val="left"/>
      <w:pPr>
        <w:ind w:left="720" w:hanging="360"/>
      </w:pPr>
    </w:lvl>
    <w:lvl w:ilvl="1" w:tplc="48290994" w:tentative="1">
      <w:start w:val="1"/>
      <w:numFmt w:val="lowerLetter"/>
      <w:lvlText w:val="%2."/>
      <w:lvlJc w:val="left"/>
      <w:pPr>
        <w:ind w:left="1440" w:hanging="360"/>
      </w:pPr>
    </w:lvl>
    <w:lvl w:ilvl="2" w:tplc="48290994" w:tentative="1">
      <w:start w:val="1"/>
      <w:numFmt w:val="lowerRoman"/>
      <w:lvlText w:val="%3."/>
      <w:lvlJc w:val="right"/>
      <w:pPr>
        <w:ind w:left="2160" w:hanging="180"/>
      </w:pPr>
    </w:lvl>
    <w:lvl w:ilvl="3" w:tplc="48290994" w:tentative="1">
      <w:start w:val="1"/>
      <w:numFmt w:val="decimal"/>
      <w:lvlText w:val="%4."/>
      <w:lvlJc w:val="left"/>
      <w:pPr>
        <w:ind w:left="2880" w:hanging="360"/>
      </w:pPr>
    </w:lvl>
    <w:lvl w:ilvl="4" w:tplc="48290994" w:tentative="1">
      <w:start w:val="1"/>
      <w:numFmt w:val="lowerLetter"/>
      <w:lvlText w:val="%5."/>
      <w:lvlJc w:val="left"/>
      <w:pPr>
        <w:ind w:left="3600" w:hanging="360"/>
      </w:pPr>
    </w:lvl>
    <w:lvl w:ilvl="5" w:tplc="48290994" w:tentative="1">
      <w:start w:val="1"/>
      <w:numFmt w:val="lowerRoman"/>
      <w:lvlText w:val="%6."/>
      <w:lvlJc w:val="right"/>
      <w:pPr>
        <w:ind w:left="4320" w:hanging="180"/>
      </w:pPr>
    </w:lvl>
    <w:lvl w:ilvl="6" w:tplc="48290994" w:tentative="1">
      <w:start w:val="1"/>
      <w:numFmt w:val="decimal"/>
      <w:lvlText w:val="%7."/>
      <w:lvlJc w:val="left"/>
      <w:pPr>
        <w:ind w:left="5040" w:hanging="360"/>
      </w:pPr>
    </w:lvl>
    <w:lvl w:ilvl="7" w:tplc="48290994" w:tentative="1">
      <w:start w:val="1"/>
      <w:numFmt w:val="lowerLetter"/>
      <w:lvlText w:val="%8."/>
      <w:lvlJc w:val="left"/>
      <w:pPr>
        <w:ind w:left="5760" w:hanging="360"/>
      </w:pPr>
    </w:lvl>
    <w:lvl w:ilvl="8" w:tplc="48290994" w:tentative="1">
      <w:start w:val="1"/>
      <w:numFmt w:val="lowerRoman"/>
      <w:lvlText w:val="%9."/>
      <w:lvlJc w:val="right"/>
      <w:pPr>
        <w:ind w:left="6480" w:hanging="180"/>
      </w:pPr>
    </w:lvl>
  </w:abstractNum>
  <w:abstractNum w:abstractNumId="27820331">
    <w:multiLevelType w:val="hybridMultilevel"/>
    <w:lvl w:ilvl="0" w:tplc="85169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20331">
    <w:abstractNumId w:val="27820331"/>
  </w:num>
  <w:num w:numId="27820332">
    <w:abstractNumId w:val="27820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89946818" Type="http://schemas.openxmlformats.org/officeDocument/2006/relationships/numbering" Target="numbering.xml"/><Relationship Id="rId93955957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