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6058524" w:name="document"/>
    <w:bookmarkEnd w:id="76058524"/>
    <w:p/>
    <w:p>
      <w:pPr>
        <w:widowControl w:val="on"/>
        <w:pBdr/>
        <w:spacing w:before="0" w:after="280" w:line="240" w:lineRule="auto"/>
        <w:ind w:left="0" w:right="0"/>
        <w:jc w:val="left"/>
      </w:pPr>
      <w:r>
        <w:rPr>
          <w:rFonts w:ascii="Arial" w:hAnsi="Arial" w:eastAsia="Arial" w:cs="Arial"/>
          <w:color w:val="363A40"/>
          <w:sz w:val="24"/>
          <w:szCs w:val="24"/>
        </w:rPr>
        <w:t xml:space="preserve">Dokument-ID: 919846 | Florian Horn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Anmeldung der Berufung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enthält die Grundstruktur der Berufungsanmeldung nach
§ 461 Abs 2 ZPO, die immer dann notwendig ist, wenn ein
Urteil mündlich verkündet wurde.</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MMag. Florian Horn</w:t>
      </w:r>
      <w:r>
        <w:rPr>
          <w:rFonts w:ascii="Arial" w:hAnsi="Arial" w:eastAsia="Arial" w:cs="Arial"/>
          <w:color w:val="000000"/>
          <w:sz w:val="20"/>
          <w:szCs w:val="20"/>
        </w:rPr>
        <w:br/>
        <w:t xml:space="preserve"> Weihburggasse 18–20</w:t>
      </w:r>
      <w:r>
        <w:rPr>
          <w:rFonts w:ascii="Arial" w:hAnsi="Arial" w:eastAsia="Arial" w:cs="Arial"/>
          <w:color w:val="000000"/>
          <w:sz w:val="20"/>
          <w:szCs w:val="20"/>
        </w:rPr>
        <w:br/>
        <w:t xml:space="preserve">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10 Cg 23/14h</w:t>
      </w:r>
      <w:r>
        <w:rPr>
          <w:rFonts w:ascii="Arial" w:hAnsi="Arial" w:eastAsia="Arial" w:cs="Arial"/>
          <w:color w:val="000000"/>
          <w:sz w:val="20"/>
          <w:szCs w:val="20"/>
        </w:rPr>
        <w:br/>
        <w:t xml:space="preserve"> Wien, am 04.03.2016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Albert Adam, Angestellter</w:t>
            </w:r>
            <w:r>
              <w:rPr>
                <w:rFonts w:ascii="Arial" w:hAnsi="Arial" w:eastAsia="Arial" w:cs="Arial"/>
                <w:color w:val="000000"/>
                <w:position w:val="0"/>
                <w:sz w:val="20"/>
                <w:szCs w:val="20"/>
                <w:shd w:val="clear" w:color="auto" w:fill="FFFFFF"/>
              </w:rPr>
              <w:br/>
              <w:t xml:space="preserve">Neugasse 1</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MMag. Florian Horn</w:t>
            </w:r>
            <w:r>
              <w:rPr>
                <w:rFonts w:ascii="Arial" w:hAnsi="Arial" w:eastAsia="Arial" w:cs="Arial"/>
                <w:color w:val="000000"/>
                <w:position w:val="0"/>
                <w:sz w:val="20"/>
                <w:szCs w:val="20"/>
                <w:shd w:val="clear" w:color="auto" w:fill="FFFFFF"/>
              </w:rPr>
              <w:br/>
              <w:t xml:space="preserve">Weihburggasse 18–20</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r>
              <w:rPr>
                <w:rFonts w:ascii="Arial" w:hAnsi="Arial" w:eastAsia="Arial" w:cs="Arial"/>
                <w:color w:val="000000"/>
                <w:position w:val="0"/>
                <w:sz w:val="20"/>
                <w:szCs w:val="20"/>
                <w:shd w:val="clear" w:color="auto" w:fill="FFFFFF"/>
              </w:rPr>
              <w:br/>
              <w:t xml:space="preserve">Vollmacht gem § 9 RAO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Geraldine Germ KG und Co GmbH, FN 123456</w:t>
            </w:r>
            <w:r>
              <w:rPr>
                <w:rFonts w:ascii="Arial" w:hAnsi="Arial" w:eastAsia="Arial" w:cs="Arial"/>
                <w:color w:val="000000"/>
                <w:position w:val="0"/>
                <w:sz w:val="20"/>
                <w:szCs w:val="20"/>
                <w:shd w:val="clear" w:color="auto" w:fill="FFFFFF"/>
              </w:rPr>
              <w:br/>
              <w:t xml:space="preserve">Neugasse 3</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Siegfried Streiter</w:t>
            </w:r>
            <w:r>
              <w:rPr>
                <w:rFonts w:ascii="Arial" w:hAnsi="Arial" w:eastAsia="Arial" w:cs="Arial"/>
                <w:color w:val="000000"/>
                <w:position w:val="0"/>
                <w:sz w:val="20"/>
                <w:szCs w:val="20"/>
                <w:shd w:val="clear" w:color="auto" w:fill="FFFFFF"/>
              </w:rPr>
              <w:br/>
              <w:t xml:space="preserve">Alter Platz 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45.000,– sA (JN/GGG/RATG)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Berufungsanmeldung</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das Gericht in der
Tagsatzung vom 19.02.2016 sein Urteil mündlich verkündet. Der
Kläger meldet zu dieser Entscheidung binnen offener Frist die
Berufung an und beantragt die Zustellung einer schriftlichen
Ausfertigung der Entscheidung.</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Adalbert Adam</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45.000,00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Berufungsanmeldung (TP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93,10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50 % Einheitssatz</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46,60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USt-pflichtig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141,80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28,36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170,16</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Bei jedem mündlich in der Tagsatzung verkündeten Urteil ist die
Berufung zwingend nach § 461 Abs 1 ZPO durch einen an das
Erstgericht gerichteten Schriftsatz anzumelden. Anders als vom
Gesetzgeber intendiert ist die mündliche Verkündung von Urteilen
allerdings relativ selten, sodass dieser Schritt auch nur selten
notwendig ist. Wenn das Gericht aus eigenem das Urteil schriftlich
ausfertigt und gleichzeitig mit der Protokollabschrift zustellt, so
ist eine Anmeldung nicht erforderlich (RIS-Justiz RS0117659).</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Frist für die Anmeldung beträgt 14 Tage ab Zustellung der
Protokollabschrift der Tagsatzung, in der es zur Verkündung des
Urteils gekommen ist. Bei der Frist handelt es sich um eine
Notfrist, die durch die Ferialzeiträume des § 222 Abs 1
ZPO, dh zwischen dem 15. Juli und dem 17. August, sowie zwischen
dem 24. Dezember und dem 6. Jänner gehemmt wird (RIS-Justiz
RS0129397; zur Fristberechnung RS0127140).</w:t>
      </w:r>
    </w:p>
    <w:p>
      <w:pPr>
        <w:widowControl w:val="on"/>
        <w:pBdr/>
        <w:spacing w:before="140" w:after="240" w:line="288" w:lineRule="auto"/>
        <w:ind w:left="0" w:right="0"/>
        <w:jc w:val="left"/>
      </w:pPr>
      <w:r>
        <w:rPr>
          <w:rFonts w:ascii="Arial" w:hAnsi="Arial" w:eastAsia="Arial" w:cs="Arial"/>
          <w:color w:val="000000"/>
          <w:sz w:val="20"/>
          <w:szCs w:val="20"/>
        </w:rPr>
        <w:t xml:space="preserve">Alternativ kann die Anmeldung der Berufung auch sofort in der
Tagsatzung mündlich zu Protokoll erklärt werden (§ 461
Abs 2 ZPO). Die Wiedereinsetzung in den vorigen Stand
(§ 146 ZPO) ist zulässig.</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Sollte die Anmeldung unterlassen werden, so ist das Rechtsmittel
der Berufung nicht mehr zulässig. Infrage käme allenfalls eine
Nichtigkeitsklage, für den Fall dass ein Grund des § 529 ZPO
vorliegt. Eine dennoch erhobene Berufung ist zurückzuweisen
(</w:t>
      </w:r>
      <w:r>
        <w:rPr>
          <w:rFonts w:ascii="Arial" w:hAnsi="Arial" w:eastAsia="Arial" w:cs="Arial"/>
          <w:i/>
          <w:iCs/>
          <w:color w:val="000000"/>
          <w:sz w:val="20"/>
          <w:szCs w:val="20"/>
        </w:rPr>
        <w:t xml:space="preserve">Kodek</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Rechberger</w:t>
      </w:r>
      <w:r>
        <w:rPr>
          <w:rFonts w:ascii="Arial" w:hAnsi="Arial" w:eastAsia="Arial" w:cs="Arial"/>
          <w:color w:val="000000"/>
          <w:sz w:val="20"/>
          <w:szCs w:val="20"/>
        </w:rPr>
        <w:t xml:space="preserve"> ZPO</w:t>
      </w:r>
      <w:r>
        <w:rPr>
          <w:rFonts w:ascii="Arial" w:hAnsi="Arial" w:eastAsia="Arial" w:cs="Arial"/>
          <w:color w:val="000000"/>
          <w:position w:val="3"/>
          <w:sz w:val="18"/>
          <w:szCs w:val="18"/>
          <w:vertAlign w:val="superscript"/>
        </w:rPr>
        <w:t xml:space="preserve">4</w:t>
      </w:r>
      <w:r>
        <w:rPr>
          <w:rFonts w:ascii="Arial" w:hAnsi="Arial" w:eastAsia="Arial" w:cs="Arial"/>
          <w:color w:val="000000"/>
          <w:sz w:val="20"/>
          <w:szCs w:val="20"/>
        </w:rPr>
        <w:t xml:space="preserve"> § 461
Rz 2). Für das Gericht bedeutet die Unterlassung der
Anmeldung, dass binnen weiterer 14 Tagen ab Ablauf der
Anmeldungsfrist gem § 417a ZPO eine gekürzte
Urteilsausfertigung möglich ist, die dem Gericht insbesondere die
schriftliche Begründung der Entscheidung erspart, soweit diese
nicht zur Bestimmung des Umfangs der Rechtskraft erforderlich
ist.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In diesen Fällen wird von einem zweistufigen Berufungsverfahren
gesprochen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ZPO Rz 7). Das bedeutet nach Verkündung des
Urteiles läuft zunächst die erwähnte 14-tägige Anmeldungsfrist.
Sodann fertigt das Gericht das Urteil aus und erst nach Zustellung
der Ausfertigung des Urteiles läuft die 4-wöchige
Berufungsfrist.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 Antrag die schriftliche Ausfertigung der Entscheidung
zuzustellen, ersetzt nicht die Anmeldung der Berufung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ZPO
Rz 9), wenn aus einem derartigen Antrag nicht zweifelsfrei
hervorgeht, dass eine Bekämpfung der Entscheidung beabsichtigt ist.
Der Antrag könnte sonst auch nur der Vervollständigung der Akten
oder im Falle eines bloß teilweisen Unterliegen Eintreibungszwecken
dienen.</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Ein Antrag auf Zustellung der Protokollabschrift in der Tagsatzung
in der das Urteil verkündet wird ist nicht notwendig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Fasching/Konecny²</w:t>
      </w:r>
      <w:r>
        <w:rPr>
          <w:rFonts w:ascii="Arial" w:hAnsi="Arial" w:eastAsia="Arial" w:cs="Arial"/>
          <w:color w:val="000000"/>
          <w:sz w:val="20"/>
          <w:szCs w:val="20"/>
        </w:rPr>
        <w:t xml:space="preserve"> § 461
Rz 11). Anderer Ansicht sind Pochmarski/Lichtenberg (Berufung,
12) die vertreten, dass bei unterlassenem Antrag auf Zustellung der
Protokollabschrift die Rechtskraft der mündlich verkündeten
Entscheidung bewirkt wird. Ein Antrag auf Zustellung der
Protokollabschrift schadet aber auch auf keinen Fall. Es sollte in
der Tagsatzung, in der das Urteil mündlich verkündet wird
jedenfalls darauf geachtet werden, keinen Verzicht auf Zustellung
des Protokolls abzugeben, auch nicht durch einen allfälligen
standardisierten Aufdruck auf dem von vielen Richtern verwendeten
Formular, welches am Ende der Tagsatzung durch die anwesenden
Rechtsvertreter und Parteien gezeichnet wird.</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9900"/>
      </w:tblGrid>
      <w:tr>
        <w:trPr>
          <w:trHeight w:val="0" w:hRule="atLeast"/>
        </w:trPr>
        <w:tc>
          <w:tcPr>
            <w:tcW w:w="990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umseits näher bezeichneter Rechtssache hat das Gericht in der
Tagsatzung vom 19.02.2016 sein Urteil mündlich verkündet. Der
Kläger meldet zu dieser Entscheidung binnen offener Frist die
Berufung an und beantragt die Zustellung einer schriftlichen
Ausfertigung der Entscheidung.</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Der Antrag in der Anmeldung der Berufung kann kurz gehalten werden
und bedarf keiner Begründung (vgl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Rz 8). Auch der Umfang
der Anfechtung muss nicht spezifiziert werden, zumal eine bloß
teilweise Ausfertigung als gekürztes Urteil nach § 417a ZPO
ohnedies nicht vorgesehen ist, sodass das Gericht jedenfalls die
volle Entscheidung ausfertigen muss.</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Spezifiziert werden sollte allerdings hinsichtlich welchen Urteils
die Berufung angemeldet wird. Dafür reicht in die Regel das Datum
der Tagsatzung oder die Angabe der Protokollabschrift, in der das
Urteil wiedergegeben ist.</w:t>
      </w:r>
    </w:p>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Zweckmäßig sind auch Angaben zur Rechtzeitigkeit der
Prozesshandlung, dh in diesem Fall das Vorbringen des Datums der
Zustellung der Protokollabschrift als auslösendes Ereignis.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Berufungsanmeldung (TP 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93,10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46,60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USt-pflichtig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28,36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170,16</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Die Kosten der Anmeldung bestimmen sich nach TP 1 RATG. Eine
Gerichtsgebühr fällt für die Anmeldung allein nicht an, auch wenn
in der Folge keine Berufung erhoben wird. Nach Möglichkeit sind die
Kosten bereits im Schriftsatz über die Anmeldung zu verzeichnen,
spätestens aber in der Berufungsschrift. Wird keine Berufung
eingebracht, so war der Schriftsatz zur zweckentsprechenden
Rechtsverfolgung nicht notwendig und findet ein Kostenersatz nicht
statt.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984634">
    <w:multiLevelType w:val="hybridMultilevel"/>
    <w:lvl w:ilvl="0" w:tplc="84119971">
      <w:start w:val="1"/>
      <w:numFmt w:val="decimal"/>
      <w:lvlText w:val="%1."/>
      <w:lvlJc w:val="left"/>
      <w:pPr>
        <w:ind w:left="720" w:hanging="360"/>
      </w:pPr>
    </w:lvl>
    <w:lvl w:ilvl="1" w:tplc="84119971" w:tentative="1">
      <w:start w:val="1"/>
      <w:numFmt w:val="lowerLetter"/>
      <w:lvlText w:val="%2."/>
      <w:lvlJc w:val="left"/>
      <w:pPr>
        <w:ind w:left="1440" w:hanging="360"/>
      </w:pPr>
    </w:lvl>
    <w:lvl w:ilvl="2" w:tplc="84119971" w:tentative="1">
      <w:start w:val="1"/>
      <w:numFmt w:val="lowerRoman"/>
      <w:lvlText w:val="%3."/>
      <w:lvlJc w:val="right"/>
      <w:pPr>
        <w:ind w:left="2160" w:hanging="180"/>
      </w:pPr>
    </w:lvl>
    <w:lvl w:ilvl="3" w:tplc="84119971" w:tentative="1">
      <w:start w:val="1"/>
      <w:numFmt w:val="decimal"/>
      <w:lvlText w:val="%4."/>
      <w:lvlJc w:val="left"/>
      <w:pPr>
        <w:ind w:left="2880" w:hanging="360"/>
      </w:pPr>
    </w:lvl>
    <w:lvl w:ilvl="4" w:tplc="84119971" w:tentative="1">
      <w:start w:val="1"/>
      <w:numFmt w:val="lowerLetter"/>
      <w:lvlText w:val="%5."/>
      <w:lvlJc w:val="left"/>
      <w:pPr>
        <w:ind w:left="3600" w:hanging="360"/>
      </w:pPr>
    </w:lvl>
    <w:lvl w:ilvl="5" w:tplc="84119971" w:tentative="1">
      <w:start w:val="1"/>
      <w:numFmt w:val="lowerRoman"/>
      <w:lvlText w:val="%6."/>
      <w:lvlJc w:val="right"/>
      <w:pPr>
        <w:ind w:left="4320" w:hanging="180"/>
      </w:pPr>
    </w:lvl>
    <w:lvl w:ilvl="6" w:tplc="84119971" w:tentative="1">
      <w:start w:val="1"/>
      <w:numFmt w:val="decimal"/>
      <w:lvlText w:val="%7."/>
      <w:lvlJc w:val="left"/>
      <w:pPr>
        <w:ind w:left="5040" w:hanging="360"/>
      </w:pPr>
    </w:lvl>
    <w:lvl w:ilvl="7" w:tplc="84119971" w:tentative="1">
      <w:start w:val="1"/>
      <w:numFmt w:val="lowerLetter"/>
      <w:lvlText w:val="%8."/>
      <w:lvlJc w:val="left"/>
      <w:pPr>
        <w:ind w:left="5760" w:hanging="360"/>
      </w:pPr>
    </w:lvl>
    <w:lvl w:ilvl="8" w:tplc="84119971" w:tentative="1">
      <w:start w:val="1"/>
      <w:numFmt w:val="lowerRoman"/>
      <w:lvlText w:val="%9."/>
      <w:lvlJc w:val="right"/>
      <w:pPr>
        <w:ind w:left="6480" w:hanging="180"/>
      </w:pPr>
    </w:lvl>
  </w:abstractNum>
  <w:abstractNum w:abstractNumId="33984633">
    <w:multiLevelType w:val="hybridMultilevel"/>
    <w:lvl w:ilvl="0" w:tplc="162354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984633">
    <w:abstractNumId w:val="33984633"/>
  </w:num>
  <w:num w:numId="33984634">
    <w:abstractNumId w:val="339846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41190896" Type="http://schemas.openxmlformats.org/officeDocument/2006/relationships/numbering" Target="numbering.xml"/><Relationship Id="rId624268730"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