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numbering.xml" ContentType="application/vnd.openxmlformats-officedocument.wordprocessingml.numbering+xml"/>
  <Override PartName="/word/comments.xml" ContentType="application/vnd.openxmlformats-officedocument.wordprocessingml.comment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51684976" w:name="document"/>
    <w:bookmarkEnd w:id="51684976"/>
    <w:p/>
    <w:p>
      <w:pPr>
        <w:widowControl w:val="on"/>
        <w:pBdr/>
        <w:spacing w:before="0" w:after="280" w:line="240" w:lineRule="auto"/>
        <w:ind w:left="0" w:right="0"/>
        <w:jc w:val="left"/>
      </w:pPr>
      <w:r>
        <w:rPr>
          <w:rFonts w:ascii="Arial" w:hAnsi="Arial" w:eastAsia="Arial" w:cs="Arial"/>
          <w:color w:val="363A40"/>
          <w:sz w:val="24"/>
          <w:szCs w:val="24"/>
        </w:rPr>
        <w:t xml:space="preserve">Dokument-ID: 919846 | Florian Horn | Muster |
Schriftsatzmuster</w:t>
      </w:r>
    </w:p>
    <w:p>
      <w:pPr>
        <w:widowControl w:val="on"/>
        <w:pBdr/>
        <w:spacing w:before="340" w:after="220" w:line="268" w:lineRule="auto"/>
        <w:ind w:left="0" w:right="0"/>
        <w:jc w:val="left"/>
        <w:outlineLvl w:val="0"/>
      </w:pPr>
      <w:r>
        <w:rPr>
          <w:rFonts w:ascii="Arial" w:hAnsi="Arial" w:eastAsia="Arial" w:cs="Arial"/>
          <w:b/>
          <w:bCs/>
          <w:color w:val="363A40"/>
          <w:sz w:val="36"/>
          <w:szCs w:val="36"/>
        </w:rPr>
        <w:t xml:space="preserve">Anmeldung der Berufung</w:t>
      </w:r>
    </w:p>
    <w:p>
      <w:pPr>
        <w:widowControl w:val="on"/>
        <w:pBdr/>
        <w:spacing w:before="140" w:after="240" w:line="288" w:lineRule="auto"/>
        <w:ind w:left="0" w:right="0"/>
        <w:jc w:val="left"/>
      </w:pPr>
      <w:r>
        <w:rPr>
          <w:rFonts w:ascii="Arial" w:hAnsi="Arial" w:eastAsia="Arial" w:cs="Arial"/>
          <w:b/>
          <w:bCs/>
          <w:color w:val="000000"/>
          <w:sz w:val="20"/>
          <w:szCs w:val="20"/>
        </w:rPr>
        <w:t xml:space="preserve">Vorbemerkungen:</w:t>
      </w:r>
      <w:r>
        <w:rPr>
          <w:rFonts w:ascii="Arial" w:hAnsi="Arial" w:eastAsia="Arial" w:cs="Arial"/>
          <w:color w:val="000000"/>
          <w:sz w:val="20"/>
          <w:szCs w:val="20"/>
        </w:rPr>
        <w:br/>
        <w:t xml:space="preserve">Dieses Muster enthält die Grundstruktur der Berufungsanmeldung nach
§ 461 Abs 2 ZPO, die immer dann notwendig ist, wenn ein
Urteil mündlich verkündet wurde.</w:t>
      </w:r>
    </w:p>
    <w:p>
      <w:r>
        <w:pict>
          <v:rect id="_x0000_i1026" style="width:0;height:1.5pt" o:hralign="center" o:hrstd="t" o:hr="t" o:hrnoshade="t" fillcolor="#a0a0a0" stroked="f"/>
        </w:pict>
      </w:r>
    </w:p>
    <w:p>
      <w:pPr>
        <w:widowControl w:val="on"/>
        <w:pBdr/>
        <w:spacing w:before="140" w:after="240" w:line="288" w:lineRule="auto"/>
        <w:ind w:left="0" w:right="0"/>
        <w:jc w:val="center"/>
      </w:pPr>
      <w:r>
        <w:rPr>
          <w:rFonts w:ascii="Arial" w:hAnsi="Arial" w:eastAsia="Arial" w:cs="Arial"/>
          <w:color w:val="000000"/>
          <w:sz w:val="20"/>
          <w:szCs w:val="20"/>
        </w:rPr>
        <w:t xml:space="preserve">Rechtsanwalt MMag. Florian Horn</w:t>
      </w:r>
      <w:r>
        <w:rPr>
          <w:rFonts w:ascii="Arial" w:hAnsi="Arial" w:eastAsia="Arial" w:cs="Arial"/>
          <w:color w:val="000000"/>
          <w:sz w:val="20"/>
          <w:szCs w:val="20"/>
        </w:rPr>
        <w:br/>
        <w:t xml:space="preserve"> Weihburggasse 18–20</w:t>
      </w:r>
      <w:r>
        <w:rPr>
          <w:rFonts w:ascii="Arial" w:hAnsi="Arial" w:eastAsia="Arial" w:cs="Arial"/>
          <w:color w:val="000000"/>
          <w:sz w:val="20"/>
          <w:szCs w:val="20"/>
        </w:rPr>
        <w:br/>
        <w:t xml:space="preserve"> 1010 Wien</w:t>
      </w:r>
    </w:p>
    <w:p>
      <w:pPr>
        <w:widowControl w:val="on"/>
        <w:pBdr/>
        <w:spacing w:before="140" w:after="240" w:line="288" w:lineRule="auto"/>
        <w:ind w:left="0" w:right="0"/>
        <w:jc w:val="left"/>
      </w:pPr>
      <w:r>
        <w:rPr>
          <w:rFonts w:ascii="Arial" w:hAnsi="Arial" w:eastAsia="Arial" w:cs="Arial"/>
          <w:color w:val="000000"/>
          <w:sz w:val="20"/>
          <w:szCs w:val="20"/>
        </w:rPr>
        <w:t xml:space="preserve">per WebERV</w:t>
      </w:r>
    </w:p>
    <w:p>
      <w:pPr>
        <w:widowControl w:val="on"/>
        <w:pBdr/>
        <w:spacing w:before="140" w:after="240" w:line="288" w:lineRule="auto"/>
        <w:ind w:left="0" w:right="0"/>
        <w:jc w:val="left"/>
      </w:pPr>
      <w:r>
        <w:rPr>
          <w:rFonts w:ascii="Arial" w:hAnsi="Arial" w:eastAsia="Arial" w:cs="Arial"/>
          <w:color w:val="000000"/>
          <w:sz w:val="20"/>
          <w:szCs w:val="20"/>
        </w:rPr>
        <w:t xml:space="preserve">An das</w:t>
      </w:r>
      <w:r>
        <w:rPr>
          <w:rFonts w:ascii="Arial" w:hAnsi="Arial" w:eastAsia="Arial" w:cs="Arial"/>
          <w:color w:val="000000"/>
          <w:sz w:val="20"/>
          <w:szCs w:val="20"/>
        </w:rPr>
        <w:br/>
        <w:t xml:space="preserve">Handelsgericht Wien</w:t>
      </w:r>
      <w:r>
        <w:rPr>
          <w:rFonts w:ascii="Arial" w:hAnsi="Arial" w:eastAsia="Arial" w:cs="Arial"/>
          <w:color w:val="000000"/>
          <w:sz w:val="20"/>
          <w:szCs w:val="20"/>
        </w:rPr>
        <w:br/>
        <w:t xml:space="preserve">Marxergasse 1a</w:t>
      </w:r>
      <w:r>
        <w:rPr>
          <w:rFonts w:ascii="Arial" w:hAnsi="Arial" w:eastAsia="Arial" w:cs="Arial"/>
          <w:color w:val="000000"/>
          <w:sz w:val="20"/>
          <w:szCs w:val="20"/>
        </w:rPr>
        <w:br/>
        <w:t xml:space="preserve">1030 Wien</w:t>
      </w:r>
    </w:p>
    <w:p>
      <w:pPr>
        <w:widowControl w:val="on"/>
        <w:pBdr/>
        <w:spacing w:before="140" w:after="240" w:line="288" w:lineRule="auto"/>
        <w:ind w:left="0" w:right="0"/>
        <w:jc w:val="right"/>
      </w:pPr>
      <w:r>
        <w:rPr>
          <w:rFonts w:ascii="Arial" w:hAnsi="Arial" w:eastAsia="Arial" w:cs="Arial"/>
          <w:color w:val="000000"/>
          <w:sz w:val="20"/>
          <w:szCs w:val="20"/>
        </w:rPr>
        <w:t xml:space="preserve">10 Cg 23/14h</w:t>
      </w:r>
      <w:r>
        <w:rPr>
          <w:rFonts w:ascii="Arial" w:hAnsi="Arial" w:eastAsia="Arial" w:cs="Arial"/>
          <w:color w:val="000000"/>
          <w:sz w:val="20"/>
          <w:szCs w:val="20"/>
        </w:rPr>
        <w:br/>
        <w:t xml:space="preserve"> Wien, am 04.03.2016</w:t>
      </w:r>
    </w:p>
    <w:tbl>
      <w:tblPr>
        <w:tblStyle w:val="NormalTablePHPDOCX"/>
        <w:tblW w:w="5000" w:type="pct"/>
        <w:tblInd w:w="0" w:type="auto"/>
        <w:tblBorders>
          <w:top w:val="nil" w:color="363A40" w:sz="0"/>
          <w:left w:val="nil" w:color="363A40" w:sz="0"/>
          <w:bottom w:val="nil" w:color="363A40" w:sz="0"/>
          <w:right w:val="nil" w:color="363A40" w:sz="0"/>
        </w:tblBorders>
      </w:tblPr>
      <w:tblGrid>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Klägerin: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Albert Adam, Angestellter</w:t>
            </w:r>
            <w:r>
              <w:rPr>
                <w:rFonts w:ascii="Arial" w:hAnsi="Arial" w:eastAsia="Arial" w:cs="Arial"/>
                <w:color w:val="000000"/>
                <w:position w:val="0"/>
                <w:sz w:val="20"/>
                <w:szCs w:val="20"/>
                <w:shd w:val="clear" w:color="auto" w:fill="FFFFFF"/>
              </w:rPr>
              <w:br/>
              <w:t xml:space="preserve">Neugasse 1</w:t>
            </w:r>
            <w:r>
              <w:rPr>
                <w:rFonts w:ascii="Arial" w:hAnsi="Arial" w:eastAsia="Arial" w:cs="Arial"/>
                <w:color w:val="000000"/>
                <w:position w:val="0"/>
                <w:sz w:val="20"/>
                <w:szCs w:val="20"/>
                <w:shd w:val="clear" w:color="auto" w:fill="FFFFFF"/>
              </w:rPr>
              <w:br/>
              <w:t xml:space="preserve">1030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MMag. Florian Horn</w:t>
            </w:r>
            <w:r>
              <w:rPr>
                <w:rFonts w:ascii="Arial" w:hAnsi="Arial" w:eastAsia="Arial" w:cs="Arial"/>
                <w:color w:val="000000"/>
                <w:position w:val="0"/>
                <w:sz w:val="20"/>
                <w:szCs w:val="20"/>
                <w:shd w:val="clear" w:color="auto" w:fill="FFFFFF"/>
              </w:rPr>
              <w:br/>
              <w:t xml:space="preserve">Weihburggasse 18–20</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w:t>
            </w:r>
            <w:r>
              <w:rPr>
                <w:rFonts w:ascii="Arial" w:hAnsi="Arial" w:eastAsia="Arial" w:cs="Arial"/>
                <w:color w:val="000000"/>
                <w:position w:val="0"/>
                <w:sz w:val="20"/>
                <w:szCs w:val="20"/>
                <w:shd w:val="clear" w:color="auto" w:fill="FFFFFF"/>
              </w:rPr>
              <w:br/>
              <w:t xml:space="preserve">Vollmacht gem § 9 RAO erteilt</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Beklagter: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Geraldine Germ KG und Co GmbH, FN 123456</w:t>
            </w:r>
            <w:r>
              <w:rPr>
                <w:rFonts w:ascii="Arial" w:hAnsi="Arial" w:eastAsia="Arial" w:cs="Arial"/>
                <w:color w:val="000000"/>
                <w:position w:val="0"/>
                <w:sz w:val="20"/>
                <w:szCs w:val="20"/>
                <w:shd w:val="clear" w:color="auto" w:fill="FFFFFF"/>
              </w:rPr>
              <w:br/>
              <w:t xml:space="preserve">Neugasse 3</w:t>
            </w:r>
            <w:r>
              <w:rPr>
                <w:rFonts w:ascii="Arial" w:hAnsi="Arial" w:eastAsia="Arial" w:cs="Arial"/>
                <w:color w:val="000000"/>
                <w:position w:val="0"/>
                <w:sz w:val="20"/>
                <w:szCs w:val="20"/>
                <w:shd w:val="clear" w:color="auto" w:fill="FFFFFF"/>
              </w:rPr>
              <w:br/>
              <w:t xml:space="preserve">1030 Wien</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Vertreten durch:</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Dr. Siegfried Streiter</w:t>
            </w:r>
            <w:r>
              <w:rPr>
                <w:rFonts w:ascii="Arial" w:hAnsi="Arial" w:eastAsia="Arial" w:cs="Arial"/>
                <w:color w:val="000000"/>
                <w:position w:val="0"/>
                <w:sz w:val="20"/>
                <w:szCs w:val="20"/>
                <w:shd w:val="clear" w:color="auto" w:fill="FFFFFF"/>
              </w:rPr>
              <w:br/>
              <w:t xml:space="preserve">Alter Platz 1</w:t>
            </w:r>
            <w:r>
              <w:rPr>
                <w:rFonts w:ascii="Arial" w:hAnsi="Arial" w:eastAsia="Arial" w:cs="Arial"/>
                <w:color w:val="000000"/>
                <w:position w:val="0"/>
                <w:sz w:val="20"/>
                <w:szCs w:val="20"/>
                <w:shd w:val="clear" w:color="auto" w:fill="FFFFFF"/>
              </w:rPr>
              <w:br/>
              <w:t xml:space="preserve">1010 Wien</w:t>
            </w:r>
            <w:r>
              <w:rPr>
                <w:rFonts w:ascii="Arial" w:hAnsi="Arial" w:eastAsia="Arial" w:cs="Arial"/>
                <w:color w:val="000000"/>
                <w:position w:val="0"/>
                <w:sz w:val="20"/>
                <w:szCs w:val="20"/>
                <w:shd w:val="clear" w:color="auto" w:fill="FFFFFF"/>
              </w:rPr>
              <w:br/>
              <w:t xml:space="preserve">AVR Code: R…</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Wegen:</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Leistung von EUR 45.000,– sA (JN/GGG/RATG)</w:t>
            </w:r>
          </w:p>
        </w:tc>
      </w:tr>
    </w:tbl>
    <w:p>
      <w:pPr>
        <w:widowControl w:val="on"/>
        <w:pBdr/>
        <w:spacing w:before="240" w:after="60" w:line="346" w:lineRule="auto"/>
        <w:ind w:left="0" w:right="0"/>
        <w:jc w:val="center"/>
        <w:outlineLvl w:val="1"/>
      </w:pPr>
      <w:r>
        <w:rPr>
          <w:rFonts w:ascii="Arial" w:hAnsi="Arial" w:eastAsia="Arial" w:cs="Arial"/>
          <w:b/>
          <w:bCs/>
          <w:color w:val="363A40"/>
          <w:sz w:val="28"/>
          <w:szCs w:val="28"/>
        </w:rPr>
        <w:t xml:space="preserve">Berufungsanmeldung</w:t>
      </w:r>
    </w:p>
    <w:p>
      <w:pPr>
        <w:widowControl w:val="on"/>
        <w:pBdr/>
        <w:spacing w:before="140" w:after="240" w:line="288" w:lineRule="auto"/>
        <w:ind w:left="0" w:right="0"/>
        <w:jc w:val="right"/>
      </w:pPr>
      <w:r>
        <w:rPr>
          <w:rFonts w:ascii="Arial" w:hAnsi="Arial" w:eastAsia="Arial" w:cs="Arial"/>
          <w:color w:val="000000"/>
          <w:sz w:val="20"/>
          <w:szCs w:val="20"/>
        </w:rPr>
        <w:t xml:space="preserve">2-fach</w:t>
      </w:r>
    </w:p>
    <w:p>
      <w:pPr>
        <w:widowControl w:val="on"/>
        <w:pBdr/>
        <w:spacing w:before="140" w:after="240" w:line="288" w:lineRule="auto"/>
        <w:ind w:left="0" w:right="0"/>
        <w:jc w:val="left"/>
      </w:pPr>
      <w:r>
        <w:rPr>
          <w:rFonts w:ascii="Arial" w:hAnsi="Arial" w:eastAsia="Arial" w:cs="Arial"/>
          <w:color w:val="000000"/>
          <w:sz w:val="20"/>
          <w:szCs w:val="20"/>
        </w:rPr>
        <w:t xml:space="preserve">In umseits näher bezeichneter Rechtssache hat das Gericht in der
Tagsatzung vom 19.02.2016 sein Urteil mündlich verkündet. Der
Kläger meldet zu dieser Entscheidung binnen offener Frist die
Berufung an und beantragt die Zustellung einer schriftlichen
Ausfertigung der Entscheidung.</w:t>
      </w:r>
    </w:p>
    <w:p>
      <w:pPr>
        <w:widowControl w:val="on"/>
        <w:pBdr/>
        <w:spacing w:before="140" w:after="240" w:line="288" w:lineRule="auto"/>
        <w:ind w:left="0" w:right="0"/>
        <w:jc w:val="left"/>
      </w:pPr>
      <w:r>
        <w:rPr>
          <w:rFonts w:ascii="Arial" w:hAnsi="Arial" w:eastAsia="Arial" w:cs="Arial"/>
          <w:color w:val="000000"/>
          <w:sz w:val="20"/>
          <w:szCs w:val="20"/>
        </w:rPr>
        <w:t xml:space="preserve">…</w:t>
      </w:r>
      <w:r>
        <w:rPr>
          <w:rFonts w:ascii="Arial" w:hAnsi="Arial" w:eastAsia="Arial" w:cs="Arial"/>
          <w:color w:val="000000"/>
          <w:sz w:val="20"/>
          <w:szCs w:val="20"/>
        </w:rPr>
        <w:br/>
        <w:t xml:space="preserve">Adalbert Adam</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(RATG/GGG):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45.000,00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Berufungsanmeldung (TP 1)</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93,10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50 % Einheitssatz</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46,60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Erhöhungsbeitrag (ERV)</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2,10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USt-pflichtig</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141,80</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28,36</w:t>
            </w:r>
          </w:p>
        </w:tc>
      </w:tr>
      <w:tr>
        <w:trPr>
          <w:trHeight w:val="0" w:hRule="atLeast"/>
        </w:trPr>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tcBorders>
              <w:top w:val="single" w:color="000000" w:sz="2"/>
              <w:left w:val="single" w:color="000000" w:sz="2"/>
              <w:bottom w:val="single" w:color="000000" w:sz="2"/>
              <w:right w:val="single" w:color="000000" w:sz="2"/>
            </w:tcBorders>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170,16</w:t>
            </w:r>
          </w:p>
        </w:tc>
      </w:tr>
    </w:tbl>
    <w:p>
      <w:r>
        <w:pict>
          <v:rect id="_x0000_i1026" style="width:0;height:1.5pt" o:hralign="center" o:hrstd="t" o:hr="t" o:hrnoshade="t" fillcolor="#a0a0a0" stroked="f"/>
        </w:pict>
      </w:r>
    </w:p>
    <w:p>
      <w:pPr>
        <w:widowControl w:val="on"/>
        <w:pBdr/>
        <w:spacing w:before="400" w:after="60" w:line="346" w:lineRule="auto"/>
        <w:ind w:left="0" w:right="0"/>
        <w:jc w:val="left"/>
        <w:outlineLvl w:val="1"/>
      </w:pPr>
      <w:r>
        <w:rPr>
          <w:rFonts w:ascii="Arial" w:hAnsi="Arial" w:eastAsia="Arial" w:cs="Arial"/>
          <w:b/>
          <w:bCs/>
          <w:color w:val="363A40"/>
          <w:sz w:val="28"/>
          <w:szCs w:val="28"/>
        </w:rPr>
        <w:t xml:space="preserve">Anmerkungen:</w:t>
      </w:r>
    </w:p>
    <w:p>
      <w:pPr>
        <w:widowControl w:val="on"/>
        <w:pBdr/>
        <w:spacing w:before="140" w:after="240" w:line="288" w:lineRule="auto"/>
        <w:ind w:left="0" w:right="0"/>
        <w:jc w:val="left"/>
      </w:pPr>
      <w:r>
        <w:rPr>
          <w:rFonts w:ascii="Arial" w:hAnsi="Arial" w:eastAsia="Arial" w:cs="Arial"/>
          <w:b/>
          <w:bCs/>
          <w:color w:val="000000"/>
          <w:sz w:val="20"/>
          <w:szCs w:val="20"/>
        </w:rPr>
        <w:t xml:space="preserve">1</w:t>
      </w:r>
      <w:r>
        <w:rPr>
          <w:rFonts w:ascii="Arial" w:hAnsi="Arial" w:eastAsia="Arial" w:cs="Arial"/>
          <w:color w:val="000000"/>
          <w:sz w:val="20"/>
          <w:szCs w:val="20"/>
        </w:rPr>
        <w:br/>
        <w:t xml:space="preserve">Bei jedem mündlich in der Tagsatzung verkündeten Urteil ist die
Berufung zwingend nach § 461 Abs 1 ZPO durch einen an das
Erstgericht gerichteten Schriftsatz anzumelden. Anders als vom
Gesetzgeber intendiert ist die mündliche Verkündung von Urteilen
allerdings relativ selten, sodass dieser Schritt auch nur selten
notwendig ist. Wenn das Gericht aus eigenem das Urteil schriftlich
ausfertigt und gleichzeitig mit der Protokollabschrift zustellt, so
ist eine Anmeldung nicht erforderlich (RIS-Justiz RS0117659).</w:t>
      </w:r>
    </w:p>
    <w:p>
      <w:pPr>
        <w:widowControl w:val="on"/>
        <w:pBdr/>
        <w:spacing w:before="140" w:after="240" w:line="288" w:lineRule="auto"/>
        <w:ind w:left="0" w:right="0"/>
        <w:jc w:val="left"/>
      </w:pPr>
      <w:r>
        <w:rPr>
          <w:rFonts w:ascii="Arial" w:hAnsi="Arial" w:eastAsia="Arial" w:cs="Arial"/>
          <w:b/>
          <w:bCs/>
          <w:color w:val="000000"/>
          <w:sz w:val="20"/>
          <w:szCs w:val="20"/>
        </w:rPr>
        <w:t xml:space="preserve">2</w:t>
      </w:r>
      <w:r>
        <w:rPr>
          <w:rFonts w:ascii="Arial" w:hAnsi="Arial" w:eastAsia="Arial" w:cs="Arial"/>
          <w:color w:val="000000"/>
          <w:sz w:val="20"/>
          <w:szCs w:val="20"/>
        </w:rPr>
        <w:br/>
        <w:t xml:space="preserve">Die Frist für die Anmeldung beträgt 14 Tage ab Zustellung der
Protokollabschrift der Tagsatzung, in der es zur Verkündung des
Urteils gekommen ist. Bei der Frist handelt es sich um eine
Notfrist, die durch die Ferialzeiträume des § 222 Abs 1
ZPO, dh zwischen dem 15. Juli und dem 17. August, sowie zwischen
dem 24. Dezember und dem 6. Jänner gehemmt wird (RIS-Justiz
RS0129397; zur Fristberechnung RS0127140).</w:t>
      </w:r>
    </w:p>
    <w:p>
      <w:pPr>
        <w:widowControl w:val="on"/>
        <w:pBdr/>
        <w:spacing w:before="140" w:after="240" w:line="288" w:lineRule="auto"/>
        <w:ind w:left="0" w:right="0"/>
        <w:jc w:val="left"/>
      </w:pPr>
      <w:r>
        <w:rPr>
          <w:rFonts w:ascii="Arial" w:hAnsi="Arial" w:eastAsia="Arial" w:cs="Arial"/>
          <w:color w:val="000000"/>
          <w:sz w:val="20"/>
          <w:szCs w:val="20"/>
        </w:rPr>
        <w:t xml:space="preserve">Alternativ kann die Anmeldung der Berufung auch sofort in der
Tagsatzung mündlich zu Protokoll erklärt werden (§ 461
Abs 2 ZPO). Die Wiedereinsetzung in den vorigen Stand
(§ 146 ZPO) ist zulässig.</w:t>
      </w:r>
    </w:p>
    <w:p>
      <w:pPr>
        <w:widowControl w:val="on"/>
        <w:pBdr/>
        <w:spacing w:before="140" w:after="240" w:line="288" w:lineRule="auto"/>
        <w:ind w:left="0" w:right="0"/>
        <w:jc w:val="left"/>
      </w:pPr>
      <w:r>
        <w:rPr>
          <w:rFonts w:ascii="Arial" w:hAnsi="Arial" w:eastAsia="Arial" w:cs="Arial"/>
          <w:b/>
          <w:bCs/>
          <w:color w:val="000000"/>
          <w:sz w:val="20"/>
          <w:szCs w:val="20"/>
        </w:rPr>
        <w:t xml:space="preserve">3</w:t>
      </w:r>
      <w:r>
        <w:rPr>
          <w:rFonts w:ascii="Arial" w:hAnsi="Arial" w:eastAsia="Arial" w:cs="Arial"/>
          <w:color w:val="000000"/>
          <w:sz w:val="20"/>
          <w:szCs w:val="20"/>
        </w:rPr>
        <w:br/>
        <w:t xml:space="preserve">Sollte die Anmeldung unterlassen werden, so ist das Rechtsmittel
der Berufung nicht mehr zulässig. Infrage käme allenfalls eine
Nichtigkeitsklage, für den Fall dass ein Grund des § 529 ZPO
vorliegt. Eine dennoch erhobene Berufung ist zurückzuweisen
(</w:t>
      </w:r>
      <w:r>
        <w:rPr>
          <w:rFonts w:ascii="Arial" w:hAnsi="Arial" w:eastAsia="Arial" w:cs="Arial"/>
          <w:i/>
          <w:iCs/>
          <w:color w:val="000000"/>
          <w:sz w:val="20"/>
          <w:szCs w:val="20"/>
        </w:rPr>
        <w:t xml:space="preserve">Kodek</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Rechberger</w:t>
      </w:r>
      <w:r>
        <w:rPr>
          <w:rFonts w:ascii="Arial" w:hAnsi="Arial" w:eastAsia="Arial" w:cs="Arial"/>
          <w:color w:val="000000"/>
          <w:sz w:val="20"/>
          <w:szCs w:val="20"/>
        </w:rPr>
        <w:t xml:space="preserve"> ZPO</w:t>
      </w:r>
      <w:r>
        <w:rPr>
          <w:rFonts w:ascii="Arial" w:hAnsi="Arial" w:eastAsia="Arial" w:cs="Arial"/>
          <w:color w:val="000000"/>
          <w:position w:val="3"/>
          <w:sz w:val="18"/>
          <w:szCs w:val="18"/>
          <w:vertAlign w:val="superscript"/>
        </w:rPr>
        <w:t xml:space="preserve">4</w:t>
      </w:r>
      <w:r>
        <w:rPr>
          <w:rFonts w:ascii="Arial" w:hAnsi="Arial" w:eastAsia="Arial" w:cs="Arial"/>
          <w:color w:val="000000"/>
          <w:sz w:val="20"/>
          <w:szCs w:val="20"/>
        </w:rPr>
        <w:t xml:space="preserve"> § 461
Rz 2). Für das Gericht bedeutet die Unterlassung der
Anmeldung, dass binnen weiterer 14 Tagen ab Ablauf der
Anmeldungsfrist gem § 417a ZPO eine gekürzte
Urteilsausfertigung möglich ist, die dem Gericht insbesondere die
schriftliche Begründung der Entscheidung erspart, soweit diese
nicht zur Bestimmung des Umfangs der Rechtskraft erforderlich
ist.</w:t>
      </w:r>
    </w:p>
    <w:p>
      <w:pPr>
        <w:widowControl w:val="on"/>
        <w:pBdr/>
        <w:spacing w:before="140" w:after="240" w:line="288" w:lineRule="auto"/>
        <w:ind w:left="0" w:right="0"/>
        <w:jc w:val="left"/>
      </w:pPr>
      <w:r>
        <w:rPr>
          <w:rFonts w:ascii="Arial" w:hAnsi="Arial" w:eastAsia="Arial" w:cs="Arial"/>
          <w:b/>
          <w:bCs/>
          <w:color w:val="000000"/>
          <w:sz w:val="20"/>
          <w:szCs w:val="20"/>
        </w:rPr>
        <w:t xml:space="preserve">4</w:t>
      </w:r>
      <w:r>
        <w:rPr>
          <w:rFonts w:ascii="Arial" w:hAnsi="Arial" w:eastAsia="Arial" w:cs="Arial"/>
          <w:color w:val="000000"/>
          <w:sz w:val="20"/>
          <w:szCs w:val="20"/>
        </w:rPr>
        <w:br/>
        <w:t xml:space="preserve">In diesen Fällen wird von einem zweistufigen Berufungsverfahren
gesprochen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²
§ 461 ZPO Rz 7). Das bedeutet nach Verkündung des
Urteiles läuft zunächst die erwähnte 14-tägige Anmeldungsfrist.
Sodann fertigt das Gericht das Urteil aus und erst nach Zustellung
der Ausfertigung des Urteiles läuft die 4-wöchige
Berufungsfrist.</w:t>
      </w:r>
    </w:p>
    <w:p>
      <w:pPr>
        <w:widowControl w:val="on"/>
        <w:pBdr/>
        <w:spacing w:before="140" w:after="240" w:line="288" w:lineRule="auto"/>
        <w:ind w:left="0" w:right="0"/>
        <w:jc w:val="left"/>
      </w:pPr>
      <w:r>
        <w:rPr>
          <w:rFonts w:ascii="Arial" w:hAnsi="Arial" w:eastAsia="Arial" w:cs="Arial"/>
          <w:b/>
          <w:bCs/>
          <w:color w:val="000000"/>
          <w:sz w:val="20"/>
          <w:szCs w:val="20"/>
        </w:rPr>
        <w:t xml:space="preserve">5</w:t>
      </w:r>
      <w:r>
        <w:rPr>
          <w:rFonts w:ascii="Arial" w:hAnsi="Arial" w:eastAsia="Arial" w:cs="Arial"/>
          <w:color w:val="000000"/>
          <w:sz w:val="20"/>
          <w:szCs w:val="20"/>
        </w:rPr>
        <w:br/>
        <w:t xml:space="preserve">Ein Antrag die schriftliche Ausfertigung der Entscheidung
zuzustellen, ersetzt nicht die Anmeldung der Berufung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² § 461 ZPO
Rz 9), wenn aus einem derartigen Antrag nicht zweifelsfrei
hervorgeht, dass eine Bekämpfung der Entscheidung beabsichtigt ist.
Der Antrag könnte sonst auch nur der Vervollständigung der Akten
oder im Falle eines bloß teilweisen Unterliegen Eintreibungszwecken
dienen.</w:t>
      </w:r>
    </w:p>
    <w:p>
      <w:pPr>
        <w:widowControl w:val="on"/>
        <w:pBdr/>
        <w:spacing w:before="140" w:after="240" w:line="288" w:lineRule="auto"/>
        <w:ind w:left="0" w:right="0"/>
        <w:jc w:val="left"/>
      </w:pPr>
      <w:r>
        <w:rPr>
          <w:rFonts w:ascii="Arial" w:hAnsi="Arial" w:eastAsia="Arial" w:cs="Arial"/>
          <w:b/>
          <w:bCs/>
          <w:color w:val="000000"/>
          <w:sz w:val="20"/>
          <w:szCs w:val="20"/>
        </w:rPr>
        <w:t xml:space="preserve">6</w:t>
      </w:r>
      <w:r>
        <w:rPr>
          <w:rFonts w:ascii="Arial" w:hAnsi="Arial" w:eastAsia="Arial" w:cs="Arial"/>
          <w:color w:val="000000"/>
          <w:sz w:val="20"/>
          <w:szCs w:val="20"/>
        </w:rPr>
        <w:br/>
        <w:t xml:space="preserve">Ein Antrag auf Zustellung der Protokollabschrift in der Tagsatzung
in der das Urteil verkündet wird ist nicht notwendig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Fasching/Konecny²</w:t>
      </w:r>
      <w:r>
        <w:rPr>
          <w:rFonts w:ascii="Arial" w:hAnsi="Arial" w:eastAsia="Arial" w:cs="Arial"/>
          <w:color w:val="000000"/>
          <w:sz w:val="20"/>
          <w:szCs w:val="20"/>
        </w:rPr>
        <w:t xml:space="preserve"> § 461
Rz 11). Anderer Ansicht sind Pochmarski/Lichtenberg (Berufung,
12) die vertreten, dass bei unterlassenem Antrag auf Zustellung der
Protokollabschrift die Rechtskraft der mündlich verkündeten
Entscheidung bewirkt wird. Ein Antrag auf Zustellung der
Protokollabschrift schadet aber auch auf keinen Fall. Es sollte in
der Tagsatzung, in der das Urteil mündlich verkündet wird
jedenfalls darauf geachtet werden, keinen Verzicht auf Zustellung
des Protokolls abzugeben, auch nicht durch einen allfälligen
standardisierten Aufdruck auf dem von vielen Richtern verwendeten
Formular, welches am Ende der Tagsatzung durch die anwesenden
Rechtsvertreter und Parteien gezeichnet wird.</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9900"/>
      </w:tblGrid>
      <w:tr>
        <w:trPr>
          <w:trHeight w:val="0" w:hRule="atLeast"/>
        </w:trPr>
        <w:tc>
          <w:tcPr>
            <w:tcW w:w="9900" w:type="dxa"/>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 umseits näher bezeichneter Rechtssache hat das Gericht in der
Tagsatzung vom 19.02.2016 sein Urteil mündlich verkündet. Der
Kläger meldet zu dieser Entscheidung binnen offener Frist die
Berufung an und beantragt die Zustellung einer schriftlichen
Ausfertigung der Entscheidung.</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7</w:t>
      </w:r>
      <w:r>
        <w:rPr>
          <w:rFonts w:ascii="Arial" w:hAnsi="Arial" w:eastAsia="Arial" w:cs="Arial"/>
          <w:color w:val="000000"/>
          <w:sz w:val="20"/>
          <w:szCs w:val="20"/>
        </w:rPr>
        <w:br/>
        <w:t xml:space="preserve">Der Antrag in der Anmeldung der Berufung kann kurz gehalten werden
und bedarf keiner Begründung (vgl </w:t>
      </w:r>
      <w:r>
        <w:rPr>
          <w:rFonts w:ascii="Arial" w:hAnsi="Arial" w:eastAsia="Arial" w:cs="Arial"/>
          <w:i/>
          <w:iCs/>
          <w:color w:val="000000"/>
          <w:sz w:val="20"/>
          <w:szCs w:val="20"/>
        </w:rPr>
        <w:t xml:space="preserve">Pimmer</w:t>
      </w:r>
      <w:r>
        <w:rPr>
          <w:rFonts w:ascii="Arial" w:hAnsi="Arial" w:eastAsia="Arial" w:cs="Arial"/>
          <w:color w:val="000000"/>
          <w:sz w:val="20"/>
          <w:szCs w:val="20"/>
        </w:rPr>
        <w:t xml:space="preserve"> in
</w:t>
      </w:r>
      <w:r>
        <w:rPr>
          <w:rFonts w:ascii="Arial" w:hAnsi="Arial" w:eastAsia="Arial" w:cs="Arial"/>
          <w:i/>
          <w:iCs/>
          <w:color w:val="000000"/>
          <w:sz w:val="20"/>
          <w:szCs w:val="20"/>
        </w:rPr>
        <w:t xml:space="preserve">Fasching/Konecny</w:t>
      </w:r>
      <w:r>
        <w:rPr>
          <w:rFonts w:ascii="Arial" w:hAnsi="Arial" w:eastAsia="Arial" w:cs="Arial"/>
          <w:color w:val="000000"/>
          <w:sz w:val="20"/>
          <w:szCs w:val="20"/>
        </w:rPr>
        <w:t xml:space="preserve">² § 461 Rz 8). Auch der Umfang
der Anfechtung muss nicht spezifiziert werden, zumal eine bloß
teilweise Ausfertigung als gekürztes Urteil nach § 417a ZPO
ohnedies nicht vorgesehen ist, sodass das Gericht jedenfalls die
volle Entscheidung ausfertigen muss.</w:t>
      </w:r>
    </w:p>
    <w:p>
      <w:pPr>
        <w:widowControl w:val="on"/>
        <w:pBdr/>
        <w:spacing w:before="140" w:after="240" w:line="288" w:lineRule="auto"/>
        <w:ind w:left="0" w:right="0"/>
        <w:jc w:val="left"/>
      </w:pPr>
      <w:r>
        <w:rPr>
          <w:rFonts w:ascii="Arial" w:hAnsi="Arial" w:eastAsia="Arial" w:cs="Arial"/>
          <w:b/>
          <w:bCs/>
          <w:color w:val="000000"/>
          <w:sz w:val="20"/>
          <w:szCs w:val="20"/>
        </w:rPr>
        <w:t xml:space="preserve">8</w:t>
      </w:r>
      <w:r>
        <w:rPr>
          <w:rFonts w:ascii="Arial" w:hAnsi="Arial" w:eastAsia="Arial" w:cs="Arial"/>
          <w:color w:val="000000"/>
          <w:sz w:val="20"/>
          <w:szCs w:val="20"/>
        </w:rPr>
        <w:br/>
        <w:t xml:space="preserve">Spezifiziert werden sollte allerdings hinsichtlich welchen Urteils
die Berufung angemeldet wird. Dafür reicht in die Regel das Datum
der Tagsatzung oder die Angabe der Protokollabschrift, in der das
Urteil wiedergegeben ist.</w:t>
      </w:r>
    </w:p>
    <w:p>
      <w:pPr>
        <w:widowControl w:val="on"/>
        <w:pBdr/>
        <w:spacing w:before="140" w:after="240" w:line="288" w:lineRule="auto"/>
        <w:ind w:left="0" w:right="0"/>
        <w:jc w:val="left"/>
      </w:pPr>
      <w:r>
        <w:rPr>
          <w:rFonts w:ascii="Arial" w:hAnsi="Arial" w:eastAsia="Arial" w:cs="Arial"/>
          <w:b/>
          <w:bCs/>
          <w:color w:val="000000"/>
          <w:sz w:val="20"/>
          <w:szCs w:val="20"/>
        </w:rPr>
        <w:t xml:space="preserve">9</w:t>
      </w:r>
      <w:r>
        <w:rPr>
          <w:rFonts w:ascii="Arial" w:hAnsi="Arial" w:eastAsia="Arial" w:cs="Arial"/>
          <w:color w:val="000000"/>
          <w:sz w:val="20"/>
          <w:szCs w:val="20"/>
        </w:rPr>
        <w:br/>
        <w:t xml:space="preserve">Zweckmäßig sind auch Angaben zur Rechtzeitigkeit der
Prozesshandlung, dh in diesem Fall das Vorbringen des Datums der
Zustellung der Protokollabschrift als auslösendes Ereignis.</w:t>
      </w:r>
    </w:p>
    <w:tbl>
      <w:tblPr>
        <w:tblStyle w:val="NormalTablePHPDOCX"/>
        <w:tblW w:w="5000" w:type="pct"/>
        <w:tblInd w:w="0" w:type="auto"/>
        <w:tblBorders>
          <w:top w:val="single" w:color="000000" w:sz="2"/>
          <w:left w:val="single" w:color="000000" w:sz="2"/>
          <w:bottom w:val="single" w:color="000000" w:sz="2"/>
          <w:right w:val="single" w:color="000000" w:sz="2"/>
        </w:tblBorders>
      </w:tblPr>
      <w:tblGrid>
        <w:gridCol w:w="1"/>
        <w:gridCol w:w="1"/>
        <w:gridCol w:w="1"/>
      </w:tblGrid>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Bemessungsgrundlage (RATG/GGG):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45.000,00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Berufungsanmeldung (TP 1)</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93,10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50 % Einheitssatz</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46,60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Erhöhungsbeitrag (ERV)</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2,10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Summe USt-pflichtig</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141,80</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20 % USt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28,36</w:t>
            </w:r>
          </w:p>
        </w:tc>
      </w:tr>
      <w:tr>
        <w:trPr>
          <w:trHeight w:val="0" w:hRule="atLeast"/>
        </w:trPr>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Insgesamt</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left"/>
              <w:textAlignment w:val="top"/>
            </w:pPr>
            <w:r>
              <w:rPr>
                <w:rFonts w:ascii="Arial" w:hAnsi="Arial" w:eastAsia="Arial" w:cs="Arial"/>
                <w:color w:val="000000"/>
                <w:position w:val="0"/>
                <w:sz w:val="20"/>
                <w:szCs w:val="20"/>
                <w:shd w:val="clear" w:color="auto" w:fill="FFFFFF"/>
              </w:rPr>
              <w:t xml:space="preserve">EUR</w:t>
            </w:r>
          </w:p>
        </w:tc>
        <w:tc>
          <w:tcPr>
            <w:tcW w:w="0" w:type="auto"/>
            <w:shd w:val="clear" w:color="auto" w:fill="FFFFFF"/>
            <w:tcMar>
              <w:top w:w="156" w:type="dxa"/>
              <w:left w:w="0" w:type="auto"/>
              <w:bottom w:w="78" w:type="dxa"/>
              <w:right w:w="0" w:type="auto"/>
            </w:tcMar>
            <w:vAlign w:val="top"/>
          </w:tcPr>
          <w:p>
            <w:pPr>
              <w:widowControl w:val="on"/>
              <w:pBdr/>
              <w:shd w:val="clear" w:color="auto" w:fill="FFFFFF"/>
              <w:spacing w:before="0" w:after="0" w:line="288" w:lineRule="auto"/>
              <w:ind w:left="0" w:right="0"/>
              <w:jc w:val="right"/>
              <w:textAlignment w:val="top"/>
            </w:pPr>
            <w:r>
              <w:rPr>
                <w:rFonts w:ascii="Arial" w:hAnsi="Arial" w:eastAsia="Arial" w:cs="Arial"/>
                <w:color w:val="000000"/>
                <w:position w:val="0"/>
                <w:sz w:val="20"/>
                <w:szCs w:val="20"/>
                <w:shd w:val="clear" w:color="auto" w:fill="FFFFFF"/>
              </w:rPr>
              <w:t xml:space="preserve">170,16</w:t>
            </w:r>
          </w:p>
        </w:tc>
      </w:tr>
    </w:tbl>
    <w:p>
      <w:pPr>
        <w:widowControl w:val="on"/>
        <w:pBdr/>
        <w:spacing w:before="140" w:after="240" w:line="288" w:lineRule="auto"/>
        <w:ind w:left="0" w:right="0"/>
        <w:jc w:val="left"/>
      </w:pPr>
      <w:r>
        <w:rPr>
          <w:rFonts w:ascii="Arial" w:hAnsi="Arial" w:eastAsia="Arial" w:cs="Arial"/>
          <w:b/>
          <w:bCs/>
          <w:color w:val="000000"/>
          <w:sz w:val="20"/>
          <w:szCs w:val="20"/>
        </w:rPr>
        <w:t xml:space="preserve">10</w:t>
      </w:r>
      <w:r>
        <w:rPr>
          <w:rFonts w:ascii="Arial" w:hAnsi="Arial" w:eastAsia="Arial" w:cs="Arial"/>
          <w:color w:val="000000"/>
          <w:sz w:val="20"/>
          <w:szCs w:val="20"/>
        </w:rPr>
        <w:br/>
        <w:t xml:space="preserve">Die Kosten der Anmeldung bestimmen sich nach TP 1 RATG. Eine
Gerichtsgebühr fällt für die Anmeldung allein nicht an, auch wenn
in der Folge keine Berufung erhoben wird. Nach Möglichkeit sind die
Kosten bereits im Schriftsatz über die Anmeldung zu verzeichnen,
spätestens aber in der Berufungsschrift. Wird keine Berufung
eingebracht, so war der Schriftsatz zur zweckentsprechenden
Rechtsverfolgung nicht notwendig und findet ein Kostenersatz nicht
statt.</w:t>
      </w:r>
    </w:p>
    <w:sectPr xmlns:w="http://schemas.openxmlformats.org/wordprocessingml/2006/main" xmlns:r="http://schemas.openxmlformats.org/officeDocument/2006/relationships" w:rsidR="00F961DC" w:rsidSect="001A2D5D">
      <w:headerReference w:type="even" r:id="rId7"/>
      <w:headerReference w:type="default" r:id="rId8"/>
      <w:footerReference w:type="even" r:id="rId9"/>
      <w:footerReference w:type="default" r:id="rId10"/>
      <w:headerReference w:type="first" r:id="rId11"/>
      <w:footerReference w:type="first" r:id="rId12"/>
      <w:pgSz w:w="11906" w:h="16838" w:orient="portrait" w:code="9"/>
      <w:pgMar w:top="1417" w:right="1701" w:bottom="1417" w:left="1701" w:header="708" w:footer="708" w:gutter="0"/>
      <w:cols w:space="708" w:num="1"/>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A2D5D" w:rsidRDefault="001A2D5D" w:rsidP="001A2D5D">
      <w:pPr>
        <w:spacing w:after="0" w:line="240" w:lineRule="auto"/>
      </w:pPr>
      <w:r>
        <w:separator/>
      </w:r>
    </w:p>
  </w:endnote>
  <w:endnote w:type="continuationSeparator" w:id="0">
    <w:p w:rsidR="001A2D5D" w:rsidRDefault="001A2D5D" w:rsidP="001A2D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Arial" w:hAnsi="Arial" w:cs="Arial"/>
        <w:sz w:val="16"/>
        <w:szCs w:val="16"/>
      </w:rPr>
      <w:id w:val="-272557442"/>
      <w:docPartObj>
        <w:docPartGallery w:val="Page Numbers (Bottom of Page)"/>
        <w:docPartUnique/>
      </w:docPartObj>
    </w:sdtPr>
    <w:sdtEndPr/>
    <w:sdtContent>
      <w:sdt>
        <w:sdtPr>
          <w:rPr>
            <w:rFonts w:ascii="Arial" w:hAnsi="Arial" w:cs="Arial"/>
            <w:sz w:val="16"/>
            <w:szCs w:val="16"/>
          </w:rPr>
          <w:id w:val="-1294594795"/>
          <w:docPartObj>
            <w:docPartGallery w:val="Page Numbers (Top of Page)"/>
            <w:docPartUnique/>
          </w:docPartObj>
        </w:sdtPr>
        <w:sdtEndPr/>
        <w:sdtContent>
          <w:bookmarkStart w:id="0" w:name="_GoBack" w:displacedByCustomXml="prev"/>
          <w:p w:rsidR="001A2D5D" w:rsidRPr="001A2D5D" w:rsidRDefault="001A2D5D">
            <w:pPr>
              <w:pStyle w:val="Fuzeile"/>
              <w:jc w:val="right"/>
              <w:rPr>
                <w:rFonts w:ascii="Arial" w:hAnsi="Arial" w:cs="Arial"/>
                <w:sz w:val="16"/>
                <w:szCs w:val="16"/>
              </w:rPr>
            </w:pPr>
            <w:r w:rsidRPr="00E73211">
              <w:rPr>
                <w:rFonts w:ascii="Arial" w:hAnsi="Arial" w:cs="Arial"/>
                <w:color w:val="000000" w:themeColor="text1"/>
                <w:sz w:val="16"/>
                <w:szCs w:val="16"/>
              </w:rPr>
              <w:t xml:space="preserve">Seite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PAGE</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r w:rsidRPr="00E73211">
              <w:rPr>
                <w:rFonts w:ascii="Arial" w:hAnsi="Arial" w:cs="Arial"/>
                <w:color w:val="000000" w:themeColor="text1"/>
                <w:sz w:val="16"/>
                <w:szCs w:val="16"/>
              </w:rPr>
              <w:t xml:space="preserve"> von </w:t>
            </w:r>
            <w:r w:rsidRPr="00E73211">
              <w:rPr>
                <w:rFonts w:ascii="Arial" w:hAnsi="Arial" w:cs="Arial"/>
                <w:b/>
                <w:bCs/>
                <w:color w:val="000000" w:themeColor="text1"/>
                <w:sz w:val="16"/>
                <w:szCs w:val="16"/>
              </w:rPr>
              <w:fldChar w:fldCharType="begin"/>
            </w:r>
            <w:r w:rsidRPr="00E73211">
              <w:rPr>
                <w:rFonts w:ascii="Arial" w:hAnsi="Arial" w:cs="Arial"/>
                <w:b/>
                <w:bCs/>
                <w:color w:val="000000" w:themeColor="text1"/>
                <w:sz w:val="16"/>
                <w:szCs w:val="16"/>
              </w:rPr>
              <w:instrText>NUMPAGES</w:instrText>
            </w:r>
            <w:r w:rsidRPr="00E73211">
              <w:rPr>
                <w:rFonts w:ascii="Arial" w:hAnsi="Arial" w:cs="Arial"/>
                <w:b/>
                <w:bCs/>
                <w:color w:val="000000" w:themeColor="text1"/>
                <w:sz w:val="16"/>
                <w:szCs w:val="16"/>
              </w:rPr>
              <w:fldChar w:fldCharType="separate"/>
            </w:r>
            <w:r w:rsidR="00E73211">
              <w:rPr>
                <w:rFonts w:ascii="Arial" w:hAnsi="Arial" w:cs="Arial"/>
                <w:b/>
                <w:bCs/>
                <w:noProof/>
                <w:color w:val="000000" w:themeColor="text1"/>
                <w:sz w:val="16"/>
                <w:szCs w:val="16"/>
              </w:rPr>
              <w:t>1</w:t>
            </w:r>
            <w:r w:rsidRPr="00E73211">
              <w:rPr>
                <w:rFonts w:ascii="Arial" w:hAnsi="Arial" w:cs="Arial"/>
                <w:b/>
                <w:bCs/>
                <w:color w:val="000000" w:themeColor="text1"/>
                <w:sz w:val="16"/>
                <w:szCs w:val="16"/>
              </w:rPr>
              <w:fldChar w:fldCharType="end"/>
            </w:r>
          </w:p>
          <w:bookmarkEnd w:id="0" w:displacedByCustomXml="next"/>
        </w:sdtContent>
      </w:sdt>
    </w:sdtContent>
  </w:sdt>
  <w:p w:rsidR="001A2D5D" w:rsidRDefault="001A2D5D">
    <w:pPr>
      <w:pStyle w:val="Fuzeil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A2D5D" w:rsidRDefault="001A2D5D" w:rsidP="001A2D5D">
      <w:pPr>
        <w:spacing w:after="0" w:line="240" w:lineRule="auto"/>
      </w:pPr>
      <w:r>
        <w:separator/>
      </w:r>
    </w:p>
  </w:footnote>
  <w:footnote w:type="continuationSeparator" w:id="0">
    <w:p w:rsidR="001A2D5D" w:rsidRDefault="001A2D5D" w:rsidP="001A2D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3211" w:rsidRDefault="00E73211">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1249106">
    <w:multiLevelType w:val="hybridMultilevel"/>
    <w:lvl w:ilvl="0" w:tplc="38572501">
      <w:start w:val="1"/>
      <w:numFmt w:val="decimal"/>
      <w:lvlText w:val="%1."/>
      <w:lvlJc w:val="left"/>
      <w:pPr>
        <w:ind w:left="720" w:hanging="360"/>
      </w:pPr>
    </w:lvl>
    <w:lvl w:ilvl="1" w:tplc="38572501" w:tentative="1">
      <w:start w:val="1"/>
      <w:numFmt w:val="lowerLetter"/>
      <w:lvlText w:val="%2."/>
      <w:lvlJc w:val="left"/>
      <w:pPr>
        <w:ind w:left="1440" w:hanging="360"/>
      </w:pPr>
    </w:lvl>
    <w:lvl w:ilvl="2" w:tplc="38572501" w:tentative="1">
      <w:start w:val="1"/>
      <w:numFmt w:val="lowerRoman"/>
      <w:lvlText w:val="%3."/>
      <w:lvlJc w:val="right"/>
      <w:pPr>
        <w:ind w:left="2160" w:hanging="180"/>
      </w:pPr>
    </w:lvl>
    <w:lvl w:ilvl="3" w:tplc="38572501" w:tentative="1">
      <w:start w:val="1"/>
      <w:numFmt w:val="decimal"/>
      <w:lvlText w:val="%4."/>
      <w:lvlJc w:val="left"/>
      <w:pPr>
        <w:ind w:left="2880" w:hanging="360"/>
      </w:pPr>
    </w:lvl>
    <w:lvl w:ilvl="4" w:tplc="38572501" w:tentative="1">
      <w:start w:val="1"/>
      <w:numFmt w:val="lowerLetter"/>
      <w:lvlText w:val="%5."/>
      <w:lvlJc w:val="left"/>
      <w:pPr>
        <w:ind w:left="3600" w:hanging="360"/>
      </w:pPr>
    </w:lvl>
    <w:lvl w:ilvl="5" w:tplc="38572501" w:tentative="1">
      <w:start w:val="1"/>
      <w:numFmt w:val="lowerRoman"/>
      <w:lvlText w:val="%6."/>
      <w:lvlJc w:val="right"/>
      <w:pPr>
        <w:ind w:left="4320" w:hanging="180"/>
      </w:pPr>
    </w:lvl>
    <w:lvl w:ilvl="6" w:tplc="38572501" w:tentative="1">
      <w:start w:val="1"/>
      <w:numFmt w:val="decimal"/>
      <w:lvlText w:val="%7."/>
      <w:lvlJc w:val="left"/>
      <w:pPr>
        <w:ind w:left="5040" w:hanging="360"/>
      </w:pPr>
    </w:lvl>
    <w:lvl w:ilvl="7" w:tplc="38572501" w:tentative="1">
      <w:start w:val="1"/>
      <w:numFmt w:val="lowerLetter"/>
      <w:lvlText w:val="%8."/>
      <w:lvlJc w:val="left"/>
      <w:pPr>
        <w:ind w:left="5760" w:hanging="360"/>
      </w:pPr>
    </w:lvl>
    <w:lvl w:ilvl="8" w:tplc="38572501" w:tentative="1">
      <w:start w:val="1"/>
      <w:numFmt w:val="lowerRoman"/>
      <w:lvlText w:val="%9."/>
      <w:lvlJc w:val="right"/>
      <w:pPr>
        <w:ind w:left="6480" w:hanging="180"/>
      </w:pPr>
    </w:lvl>
  </w:abstractNum>
  <w:abstractNum w:abstractNumId="51249105">
    <w:multiLevelType w:val="hybridMultilevel"/>
    <w:lvl w:ilvl="0" w:tplc="9113538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51249105">
    <w:abstractNumId w:val="51249105"/>
  </w:num>
  <w:num w:numId="51249106">
    <w:abstractNumId w:val="5124910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trackRevisions w:val="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2D5D"/>
    <w:rsid w:val="001A2D5D"/>
    <w:rsid w:val="00205CAE"/>
    <w:rsid w:val="002141BA"/>
    <w:rsid w:val="004A3273"/>
    <w:rsid w:val="00E73211"/>
  </w:rsids>
  <m:mathPr>
    <m:mathFont m:val="Cambria Math"/>
    <m:brkBin m:val="before"/>
    <m:brkBinSub m:val="--"/>
    <m:smallFrac m:val="0"/>
    <m:dispDef/>
    <m:lMargin m:val="0"/>
    <m:rMargin m:val="0"/>
    <m:defJc m:val="centerGroup"/>
    <m:wrapIndent m:val="1440"/>
    <m:intLim m:val="subSup"/>
    <m:naryLim m:val="undOvr"/>
  </m:mathPr>
  <w:themeFontLang w:val="de_DE"/>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_DE" w:eastAsia="de_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A2D5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A2D5D"/>
  </w:style>
  <w:style w:type="paragraph" w:styleId="Fuzeile">
    <w:name w:val="footer"/>
    <w:basedOn w:val="Standard"/>
    <w:link w:val="FuzeileZchn"/>
    <w:uiPriority w:val="99"/>
    <w:unhideWhenUsed/>
    <w:rsid w:val="001A2D5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A2D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495912078" Type="http://schemas.openxmlformats.org/officeDocument/2006/relationships/numbering" Target="numbering.xml"/><Relationship Id="rId837653534" Type="http://schemas.openxmlformats.org/officeDocument/2006/relationships/comments" Target="comment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Office Word</Application>
  <DocSecurity>0</DocSecurity>
  <Lines>0</Lines>
  <Paragraphs>0</Paragraphs>
  <ScaleCrop>false</ScaleCrop>
  <Company>WEKA Business Solutions GmbH</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2</cp:revision>
  <dcterms:created xsi:type="dcterms:W3CDTF">2015-05-12T09:10:00Z</dcterms:created>
  <dcterms:modified xsi:type="dcterms:W3CDTF">2015-05-12T09:16:00Z</dcterms:modified>
</cp:coreProperties>
</file>