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33714327" w:name="document"/>
    <w:bookmarkEnd w:id="33714327"/>
    <w:p/>
    <w:p>
      <w:pPr>
        <w:widowControl w:val="on"/>
        <w:pBdr/>
        <w:spacing w:before="0" w:after="280" w:line="240" w:lineRule="auto"/>
        <w:ind w:left="0" w:right="0"/>
        <w:jc w:val="left"/>
      </w:pPr>
      <w:r>
        <w:rPr>
          <w:rFonts w:ascii="Arial" w:hAnsi="Arial" w:eastAsia="Arial" w:cs="Arial"/>
          <w:color w:val="363A40"/>
          <w:sz w:val="24"/>
          <w:szCs w:val="24"/>
        </w:rPr>
        <w:t xml:space="preserve">Dokument-ID: 1118370 | Wolfgang Schöberl -
FORUM Media (red)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Außerordentliche Revision</w:t>
      </w:r>
    </w:p>
    <w:p>
      <w:pPr>
        <w:widowControl w:val="on"/>
        <w:pBdr/>
        <w:spacing w:before="140" w:after="240" w:line="288" w:lineRule="auto"/>
        <w:ind w:left="0" w:right="0"/>
        <w:jc w:val="right"/>
      </w:pPr>
      <w:r>
        <w:rPr>
          <w:rFonts w:ascii="Arial" w:hAnsi="Arial" w:eastAsia="Arial" w:cs="Arial"/>
          <w:color w:val="000000"/>
          <w:sz w:val="20"/>
          <w:szCs w:val="20"/>
        </w:rPr>
        <w:t xml:space="preserve">Gebühreneinzug: …</w:t>
      </w:r>
      <w:r>
        <w:rPr>
          <w:rFonts w:ascii="Arial" w:hAnsi="Arial" w:eastAsia="Arial" w:cs="Arial"/>
          <w:color w:val="000000"/>
          <w:sz w:val="20"/>
          <w:szCs w:val="20"/>
        </w:rPr>
        <w:br/>
        <w:t xml:space="preserve">Über Konto: …</w:t>
      </w:r>
      <w:r>
        <w:rPr>
          <w:rFonts w:ascii="Arial" w:hAnsi="Arial" w:eastAsia="Arial" w:cs="Arial"/>
          <w:color w:val="000000"/>
          <w:sz w:val="20"/>
          <w:szCs w:val="20"/>
        </w:rPr>
        <w:br/>
        <w:t xml:space="preserve">Bei der … Bank</w:t>
      </w:r>
    </w:p>
    <w:p>
      <w:pPr>
        <w:widowControl w:val="on"/>
        <w:pBdr/>
        <w:spacing w:before="140" w:after="240" w:line="288" w:lineRule="auto"/>
        <w:ind w:left="0" w:right="0"/>
        <w:jc w:val="center"/>
      </w:pPr>
      <w:r>
        <w:rPr>
          <w:rFonts w:ascii="Arial" w:hAnsi="Arial" w:eastAsia="Arial" w:cs="Arial"/>
          <w:color w:val="000000"/>
          <w:sz w:val="20"/>
          <w:szCs w:val="20"/>
        </w:rPr>
        <w:t xml:space="preserve">Rechtsanwalt Dr. Wolfgang
Schöberl</w:t>
      </w:r>
      <w:r>
        <w:rPr>
          <w:rFonts w:ascii="Arial" w:hAnsi="Arial" w:eastAsia="Arial" w:cs="Arial"/>
          <w:color w:val="000000"/>
          <w:sz w:val="20"/>
          <w:szCs w:val="20"/>
        </w:rPr>
        <w:br/>
        <w:t xml:space="preserve">Universitätsstraße 11</w:t>
      </w:r>
      <w:r>
        <w:rPr>
          <w:rFonts w:ascii="Arial" w:hAnsi="Arial" w:eastAsia="Arial" w:cs="Arial"/>
          <w:color w:val="000000"/>
          <w:sz w:val="20"/>
          <w:szCs w:val="20"/>
        </w:rPr>
        <w:br/>
        <w:t xml:space="preserve">1010 Wien</w:t>
      </w:r>
    </w:p>
    <w:p>
      <w:pPr>
        <w:widowControl w:val="on"/>
        <w:pBdr/>
        <w:spacing w:before="140" w:after="240" w:line="288" w:lineRule="auto"/>
        <w:ind w:left="0" w:right="0"/>
        <w:jc w:val="left"/>
      </w:pPr>
      <w:r>
        <w:rPr>
          <w:rFonts w:ascii="Arial" w:hAnsi="Arial" w:eastAsia="Arial" w:cs="Arial"/>
          <w:color w:val="000000"/>
          <w:sz w:val="20"/>
          <w:szCs w:val="20"/>
        </w:rPr>
        <w:t xml:space="preserve">per WebERV</w:t>
      </w:r>
    </w:p>
    <w:p>
      <w:pPr>
        <w:widowControl w:val="on"/>
        <w:pBdr/>
        <w:spacing w:before="140" w:after="240" w:line="288" w:lineRule="auto"/>
        <w:ind w:left="0" w:right="0"/>
        <w:jc w:val="left"/>
      </w:pPr>
      <w:r>
        <w:rPr>
          <w:rFonts w:ascii="Arial" w:hAnsi="Arial" w:eastAsia="Arial" w:cs="Arial"/>
          <w:color w:val="000000"/>
          <w:sz w:val="20"/>
          <w:szCs w:val="20"/>
        </w:rPr>
        <w:t xml:space="preserve">An das</w:t>
      </w:r>
      <w:r>
        <w:rPr>
          <w:rFonts w:ascii="Arial" w:hAnsi="Arial" w:eastAsia="Arial" w:cs="Arial"/>
          <w:color w:val="000000"/>
          <w:sz w:val="20"/>
          <w:szCs w:val="20"/>
        </w:rPr>
        <w:br/>
        <w:t xml:space="preserve">Landesgericht für Zivilrechtssachen Wien</w:t>
      </w:r>
      <w:r>
        <w:rPr>
          <w:rFonts w:ascii="Arial" w:hAnsi="Arial" w:eastAsia="Arial" w:cs="Arial"/>
          <w:color w:val="000000"/>
          <w:sz w:val="20"/>
          <w:szCs w:val="20"/>
        </w:rPr>
        <w:br/>
        <w:t xml:space="preserve">Schmerlingplatz 11</w:t>
      </w:r>
      <w:r>
        <w:rPr>
          <w:rFonts w:ascii="Arial" w:hAnsi="Arial" w:eastAsia="Arial" w:cs="Arial"/>
          <w:color w:val="000000"/>
          <w:sz w:val="20"/>
          <w:szCs w:val="20"/>
        </w:rPr>
        <w:br/>
        <w:t xml:space="preserve">1016 Wien</w:t>
      </w:r>
    </w:p>
    <w:p>
      <w:pPr>
        <w:widowControl w:val="on"/>
        <w:pBdr/>
        <w:spacing w:before="140" w:after="240" w:line="288" w:lineRule="auto"/>
        <w:ind w:left="0" w:right="0"/>
        <w:jc w:val="right"/>
      </w:pPr>
      <w:r>
        <w:rPr>
          <w:rFonts w:ascii="Arial" w:hAnsi="Arial" w:eastAsia="Arial" w:cs="Arial"/>
          <w:color w:val="000000"/>
          <w:sz w:val="20"/>
          <w:szCs w:val="20"/>
        </w:rPr>
        <w:t xml:space="preserve">5 Cg 77/20a</w:t>
      </w:r>
      <w:r>
        <w:rPr>
          <w:rFonts w:ascii="Arial" w:hAnsi="Arial" w:eastAsia="Arial" w:cs="Arial"/>
          <w:color w:val="000000"/>
          <w:sz w:val="20"/>
          <w:szCs w:val="20"/>
        </w:rPr>
        <w:br/>
        <w:t xml:space="preserve">6 R 11/21b</w:t>
      </w:r>
    </w:p>
    <w:p>
      <w:pPr>
        <w:widowControl w:val="on"/>
        <w:pBdr/>
        <w:spacing w:before="140" w:after="240" w:line="288" w:lineRule="auto"/>
        <w:ind w:left="0" w:right="0"/>
        <w:jc w:val="right"/>
      </w:pPr>
      <w:r>
        <w:rPr>
          <w:rFonts w:ascii="Arial" w:hAnsi="Arial" w:eastAsia="Arial" w:cs="Arial"/>
          <w:color w:val="000000"/>
          <w:sz w:val="20"/>
          <w:szCs w:val="20"/>
        </w:rPr>
        <w:t xml:space="preserve">Wien, am 15.02.2022</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Klägerin: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Hannelore Hahn,</w:t>
            </w:r>
            <w:r>
              <w:rPr>
                <w:rFonts w:ascii="Arial" w:hAnsi="Arial" w:eastAsia="Arial" w:cs="Arial"/>
                <w:color w:val="000000"/>
                <w:position w:val="0"/>
                <w:sz w:val="20"/>
                <w:szCs w:val="20"/>
                <w:shd w:val="clear" w:color="auto" w:fill="FFFFFF"/>
              </w:rPr>
              <w:br/>
              <w:t xml:space="preserve">Angestellte,</w:t>
            </w:r>
            <w:r>
              <w:rPr>
                <w:rFonts w:ascii="Arial" w:hAnsi="Arial" w:eastAsia="Arial" w:cs="Arial"/>
                <w:color w:val="000000"/>
                <w:position w:val="0"/>
                <w:sz w:val="20"/>
                <w:szCs w:val="20"/>
                <w:shd w:val="clear" w:color="auto" w:fill="FFFFFF"/>
              </w:rPr>
              <w:br/>
              <w:t xml:space="preserve">Alte Gasse 5</w:t>
            </w:r>
            <w:r>
              <w:rPr>
                <w:rFonts w:ascii="Arial" w:hAnsi="Arial" w:eastAsia="Arial" w:cs="Arial"/>
                <w:color w:val="000000"/>
                <w:position w:val="0"/>
                <w:sz w:val="20"/>
                <w:szCs w:val="20"/>
                <w:shd w:val="clear" w:color="auto" w:fill="FFFFFF"/>
              </w:rPr>
              <w:br/>
              <w:t xml:space="preserve">1010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Dr. Wolfgang Schöberl</w:t>
            </w:r>
            <w:r>
              <w:rPr>
                <w:rFonts w:ascii="Arial" w:hAnsi="Arial" w:eastAsia="Arial" w:cs="Arial"/>
                <w:color w:val="000000"/>
                <w:position w:val="0"/>
                <w:sz w:val="20"/>
                <w:szCs w:val="20"/>
                <w:shd w:val="clear" w:color="auto" w:fill="FFFFFF"/>
              </w:rPr>
              <w:br/>
              <w:t xml:space="preserve">Universitätsstraße 11</w:t>
            </w:r>
            <w:r>
              <w:rPr>
                <w:rFonts w:ascii="Arial" w:hAnsi="Arial" w:eastAsia="Arial" w:cs="Arial"/>
                <w:color w:val="000000"/>
                <w:position w:val="0"/>
                <w:sz w:val="20"/>
                <w:szCs w:val="20"/>
                <w:shd w:val="clear" w:color="auto" w:fill="FFFFFF"/>
              </w:rPr>
              <w:br/>
              <w:t xml:space="preserve">1010 Wien</w:t>
            </w:r>
            <w:r>
              <w:rPr>
                <w:rFonts w:ascii="Arial" w:hAnsi="Arial" w:eastAsia="Arial" w:cs="Arial"/>
                <w:color w:val="000000"/>
                <w:position w:val="0"/>
                <w:sz w:val="20"/>
                <w:szCs w:val="20"/>
                <w:shd w:val="clear" w:color="auto" w:fill="FFFFFF"/>
              </w:rPr>
              <w:br/>
              <w:t xml:space="preserve">AVR Code: R …</w:t>
            </w:r>
            <w:r>
              <w:rPr>
                <w:rFonts w:ascii="Arial" w:hAnsi="Arial" w:eastAsia="Arial" w:cs="Arial"/>
                <w:color w:val="000000"/>
                <w:position w:val="0"/>
                <w:sz w:val="20"/>
                <w:szCs w:val="20"/>
                <w:shd w:val="clear" w:color="auto" w:fill="FFFFFF"/>
              </w:rPr>
              <w:br/>
              <w:t xml:space="preserve">unter Berufung auf die erteilte Vollmacht gem § 30
Abs 2 ZPO</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Beklagter: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Bruno Bussard,</w:t>
            </w:r>
            <w:r>
              <w:rPr>
                <w:rFonts w:ascii="Arial" w:hAnsi="Arial" w:eastAsia="Arial" w:cs="Arial"/>
                <w:color w:val="000000"/>
                <w:position w:val="0"/>
                <w:sz w:val="20"/>
                <w:szCs w:val="20"/>
                <w:shd w:val="clear" w:color="auto" w:fill="FFFFFF"/>
              </w:rPr>
              <w:br/>
              <w:t xml:space="preserve">Angestellter,</w:t>
            </w:r>
            <w:r>
              <w:rPr>
                <w:rFonts w:ascii="Arial" w:hAnsi="Arial" w:eastAsia="Arial" w:cs="Arial"/>
                <w:color w:val="000000"/>
                <w:position w:val="0"/>
                <w:sz w:val="20"/>
                <w:szCs w:val="20"/>
                <w:shd w:val="clear" w:color="auto" w:fill="FFFFFF"/>
              </w:rPr>
              <w:br/>
              <w:t xml:space="preserve">Breite Gasse 11</w:t>
            </w:r>
            <w:r>
              <w:rPr>
                <w:rFonts w:ascii="Arial" w:hAnsi="Arial" w:eastAsia="Arial" w:cs="Arial"/>
                <w:color w:val="000000"/>
                <w:position w:val="0"/>
                <w:sz w:val="20"/>
                <w:szCs w:val="20"/>
                <w:shd w:val="clear" w:color="auto" w:fill="FFFFFF"/>
              </w:rPr>
              <w:br/>
              <w:t xml:space="preserve">1210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Dr. Siegfried Streiter</w:t>
            </w:r>
            <w:r>
              <w:rPr>
                <w:rFonts w:ascii="Arial" w:hAnsi="Arial" w:eastAsia="Arial" w:cs="Arial"/>
                <w:color w:val="000000"/>
                <w:position w:val="0"/>
                <w:sz w:val="20"/>
                <w:szCs w:val="20"/>
                <w:shd w:val="clear" w:color="auto" w:fill="FFFFFF"/>
              </w:rPr>
              <w:br/>
              <w:t xml:space="preserve">Alter Platz 1</w:t>
            </w:r>
            <w:r>
              <w:rPr>
                <w:rFonts w:ascii="Arial" w:hAnsi="Arial" w:eastAsia="Arial" w:cs="Arial"/>
                <w:color w:val="000000"/>
                <w:position w:val="0"/>
                <w:sz w:val="20"/>
                <w:szCs w:val="20"/>
                <w:shd w:val="clear" w:color="auto" w:fill="FFFFFF"/>
              </w:rPr>
              <w:br/>
              <w:t xml:space="preserve">1010 Wien</w:t>
            </w:r>
            <w:r>
              <w:rPr>
                <w:rFonts w:ascii="Arial" w:hAnsi="Arial" w:eastAsia="Arial" w:cs="Arial"/>
                <w:color w:val="000000"/>
                <w:position w:val="0"/>
                <w:sz w:val="20"/>
                <w:szCs w:val="20"/>
                <w:shd w:val="clear" w:color="auto" w:fill="FFFFFF"/>
              </w:rPr>
              <w:br/>
              <w:t xml:space="preserve">AVR Code: R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Leistung von EUR 39.000,– sA (JN/GGG/RATG)</w:t>
            </w:r>
            <w:r>
              <w:rPr>
                <w:rFonts w:ascii="Arial" w:hAnsi="Arial" w:eastAsia="Arial" w:cs="Arial"/>
                <w:color w:val="000000"/>
                <w:position w:val="0"/>
                <w:sz w:val="20"/>
                <w:szCs w:val="20"/>
                <w:shd w:val="clear" w:color="auto" w:fill="FFFFFF"/>
              </w:rPr>
              <w:br/>
              <w:t xml:space="preserve">Revisionsinteresse: EUR 39.000,–</w:t>
            </w:r>
          </w:p>
        </w:tc>
      </w:tr>
    </w:tbl>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Außerordentliche Revision</w:t>
      </w:r>
    </w:p>
    <w:p>
      <w:pPr>
        <w:widowControl w:val="on"/>
        <w:pBdr/>
        <w:spacing w:before="140" w:after="240" w:line="288" w:lineRule="auto"/>
        <w:ind w:left="0" w:right="0"/>
        <w:jc w:val="right"/>
      </w:pPr>
      <w:r>
        <w:rPr>
          <w:rFonts w:ascii="Arial" w:hAnsi="Arial" w:eastAsia="Arial" w:cs="Arial"/>
          <w:color w:val="000000"/>
          <w:sz w:val="20"/>
          <w:szCs w:val="20"/>
        </w:rPr>
        <w:t xml:space="preserve">2-fach</w:t>
      </w:r>
    </w:p>
    <w:p>
      <w:pPr>
        <w:widowControl w:val="on"/>
        <w:pBdr/>
        <w:spacing w:before="140" w:after="240" w:line="288" w:lineRule="auto"/>
        <w:ind w:left="0" w:right="0"/>
        <w:jc w:val="left"/>
      </w:pPr>
      <w:r>
        <w:rPr>
          <w:rFonts w:ascii="Arial" w:hAnsi="Arial" w:eastAsia="Arial" w:cs="Arial"/>
          <w:color w:val="000000"/>
          <w:sz w:val="20"/>
          <w:szCs w:val="20"/>
        </w:rPr>
        <w:t xml:space="preserve">In umseits rubrizierter Rechtssache erhebt die Klägerin gegen
das Berufungsurteil des Oberlandesgerichtes Wien vom 15.01.2022 zur
GZ: 6 R 11/21b, zu Handen ihres ausgewiesenen Vertreters zugestellt
am 01.02.2022, binnen offener Frist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außerordentliche Revision</w:t>
      </w:r>
    </w:p>
    <w:p>
      <w:pPr>
        <w:widowControl w:val="on"/>
        <w:pBdr/>
        <w:spacing w:before="140" w:after="240" w:line="288" w:lineRule="auto"/>
        <w:ind w:left="0" w:right="0"/>
        <w:jc w:val="left"/>
      </w:pPr>
      <w:r>
        <w:rPr>
          <w:rFonts w:ascii="Arial" w:hAnsi="Arial" w:eastAsia="Arial" w:cs="Arial"/>
          <w:color w:val="000000"/>
          <w:sz w:val="20"/>
          <w:szCs w:val="20"/>
        </w:rPr>
        <w:t xml:space="preserve">an den Obersten Gerichtshof und ficht das genannte Urteil seinem
gesamten Umfang nach an.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Zulässigkeit</w:t>
      </w:r>
    </w:p>
    <w:p>
      <w:pPr>
        <w:widowControl w:val="on"/>
        <w:pBdr/>
        <w:spacing w:before="140" w:after="240" w:line="288" w:lineRule="auto"/>
        <w:ind w:left="0" w:right="0"/>
        <w:jc w:val="left"/>
      </w:pPr>
      <w:r>
        <w:rPr>
          <w:rFonts w:ascii="Arial" w:hAnsi="Arial" w:eastAsia="Arial" w:cs="Arial"/>
          <w:color w:val="000000"/>
          <w:sz w:val="20"/>
          <w:szCs w:val="20"/>
        </w:rPr>
        <w:t xml:space="preserve">Das Berufungsgericht hat die ordentliche Revision nicht
zugelassen, weil …</w:t>
      </w:r>
    </w:p>
    <w:p>
      <w:pPr>
        <w:widowControl w:val="on"/>
        <w:pBdr/>
        <w:spacing w:before="140" w:after="240" w:line="288" w:lineRule="auto"/>
        <w:ind w:left="0" w:right="0"/>
        <w:jc w:val="left"/>
      </w:pPr>
      <w:r>
        <w:rPr>
          <w:rFonts w:ascii="Arial" w:hAnsi="Arial" w:eastAsia="Arial" w:cs="Arial"/>
          <w:color w:val="000000"/>
          <w:sz w:val="20"/>
          <w:szCs w:val="20"/>
        </w:rPr>
        <w:t xml:space="preserve">Entgegen dem Ausspruch des Berufungsgerichtes liegt jedoch eine
entscheidungsrelevante Rechtsfrage von erheblicher Bedeutung iSd
§ 502 Abs 1 ZPO vor, weil … (eingehende Begründung)</w:t>
      </w:r>
    </w:p>
    <w:p>
      <w:pPr>
        <w:widowControl w:val="on"/>
        <w:pBdr/>
        <w:spacing w:before="140" w:after="240" w:line="288" w:lineRule="auto"/>
        <w:ind w:left="0" w:right="0"/>
        <w:jc w:val="left"/>
      </w:pPr>
      <w:r>
        <w:rPr>
          <w:rFonts w:ascii="Arial" w:hAnsi="Arial" w:eastAsia="Arial" w:cs="Arial"/>
          <w:color w:val="000000"/>
          <w:sz w:val="20"/>
          <w:szCs w:val="20"/>
        </w:rPr>
        <w:t xml:space="preserve">Da der Wert des Entscheidungsgegenstandes, wie das
Berufungsgericht ausgesprochen hat, EUR 30.000,– übersteigt,
ist die außerordentliche Revision gem § 505 Abs 4
ZPO zulässig.</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Anfechtungsgründe</w:t>
      </w:r>
    </w:p>
    <w:p>
      <w:pPr>
        <w:widowControl w:val="on"/>
        <w:pBdr/>
        <w:spacing w:before="140" w:after="240" w:line="288" w:lineRule="auto"/>
        <w:ind w:left="0" w:right="0"/>
        <w:jc w:val="left"/>
      </w:pPr>
      <w:r>
        <w:rPr>
          <w:rFonts w:ascii="Arial" w:hAnsi="Arial" w:eastAsia="Arial" w:cs="Arial"/>
          <w:color w:val="000000"/>
          <w:sz w:val="20"/>
          <w:szCs w:val="20"/>
        </w:rPr>
        <w:t xml:space="preserve">Als Revisionsgründe macht die Klägerin</w:t>
      </w:r>
    </w:p>
    <w:p>
      <w:pPr>
        <w:numPr>
          <w:ilvl w:val="0"/>
          <w:numId w:val="61992004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Nichtigkeit</w:t>
      </w:r>
    </w:p>
    <w:p>
      <w:pPr>
        <w:numPr>
          <w:ilvl w:val="0"/>
          <w:numId w:val="61992004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wesentliche Verfahrensmängel</w:t>
      </w:r>
    </w:p>
    <w:p>
      <w:pPr>
        <w:numPr>
          <w:ilvl w:val="0"/>
          <w:numId w:val="61992004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Aktenwidrigkeit</w:t>
      </w:r>
    </w:p>
    <w:p>
      <w:pPr>
        <w:numPr>
          <w:ilvl w:val="0"/>
          <w:numId w:val="61992004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unrichtige rechtliche Beurteilung</w:t>
      </w:r>
    </w:p>
    <w:p>
      <w:pPr>
        <w:widowControl w:val="on"/>
        <w:pBdr/>
        <w:spacing w:before="140" w:after="240" w:line="288" w:lineRule="auto"/>
        <w:ind w:left="0" w:right="0"/>
        <w:jc w:val="left"/>
      </w:pPr>
      <w:r>
        <w:rPr>
          <w:rFonts w:ascii="Arial" w:hAnsi="Arial" w:eastAsia="Arial" w:cs="Arial"/>
          <w:color w:val="000000"/>
          <w:sz w:val="20"/>
          <w:szCs w:val="20"/>
        </w:rPr>
        <w:t xml:space="preserve">geltend und führt dazu aus wie folgt:</w:t>
      </w:r>
    </w:p>
    <w:p>
      <w:pPr>
        <w:widowControl w:val="on"/>
        <w:pBdr/>
        <w:spacing w:before="140" w:after="240" w:line="288" w:lineRule="auto"/>
        <w:ind w:left="0" w:right="0"/>
        <w:jc w:val="left"/>
      </w:pPr>
      <w:r>
        <w:rPr>
          <w:rFonts w:ascii="Arial" w:hAnsi="Arial" w:eastAsia="Arial" w:cs="Arial"/>
          <w:color w:val="000000"/>
          <w:sz w:val="20"/>
          <w:szCs w:val="20"/>
        </w:rPr>
        <w:t xml:space="preserve">…</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Revisionsantrag</w:t>
      </w:r>
    </w:p>
    <w:p>
      <w:pPr>
        <w:widowControl w:val="on"/>
        <w:pBdr/>
        <w:spacing w:before="140" w:after="240" w:line="288" w:lineRule="auto"/>
        <w:ind w:left="0" w:right="0"/>
        <w:jc w:val="left"/>
      </w:pPr>
      <w:r>
        <w:rPr>
          <w:rFonts w:ascii="Arial" w:hAnsi="Arial" w:eastAsia="Arial" w:cs="Arial"/>
          <w:color w:val="000000"/>
          <w:sz w:val="20"/>
          <w:szCs w:val="20"/>
        </w:rPr>
        <w:t xml:space="preserve">Die Klägerin stellt den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Antrag,</w:t>
      </w:r>
    </w:p>
    <w:p>
      <w:pPr>
        <w:widowControl w:val="on"/>
        <w:pBdr/>
        <w:spacing w:before="140" w:after="240" w:line="288" w:lineRule="auto"/>
        <w:ind w:left="0" w:right="0"/>
        <w:jc w:val="left"/>
      </w:pPr>
      <w:r>
        <w:rPr>
          <w:rFonts w:ascii="Arial" w:hAnsi="Arial" w:eastAsia="Arial" w:cs="Arial"/>
          <w:color w:val="000000"/>
          <w:sz w:val="20"/>
          <w:szCs w:val="20"/>
        </w:rPr>
        <w:t xml:space="preserve">der Oberste Gerichtshof als Revisionsgericht wolle</w:t>
      </w:r>
    </w:p>
    <w:p>
      <w:pPr>
        <w:numPr>
          <w:ilvl w:val="0"/>
          <w:numId w:val="77139518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Revision als zulässig erachten;</w:t>
      </w:r>
    </w:p>
    <w:p>
      <w:pPr>
        <w:numPr>
          <w:ilvl w:val="0"/>
          <w:numId w:val="77139518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Revision Folge geben und
</w:t>
      </w:r>
    </w:p>
    <w:p>
      <w:pPr>
        <w:numPr>
          <w:ilvl w:val="1"/>
          <w:numId w:val="77139518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angefochtenene Urteil dahingehend abändern, dass dem
Klagebegehren vollinhaltlich stattgegeben werde (gewünschte
Entscheidung über das Klagebegehren)</w:t>
      </w:r>
      <w:r>
        <w:rPr>
          <w:rFonts w:ascii="Arial" w:hAnsi="Arial" w:eastAsia="Arial" w:cs="Arial"/>
          <w:color w:val="000000"/>
          <w:sz w:val="20"/>
          <w:szCs w:val="20"/>
        </w:rPr>
        <w:br/>
        <w:t xml:space="preserve">(bei Nichtigkeit: das angefochtene Urteil als nichtig aufheben und
das vorangegangene Verfahren für nichtig erklären);</w:t>
      </w:r>
    </w:p>
    <w:p>
      <w:pPr>
        <w:numPr>
          <w:ilvl w:val="1"/>
          <w:numId w:val="77139518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in eventu das angefochtene Urteil im Umfang der Anfechtung
aufheben und die Rechtssache zur Verfahrensergänzung und
neuerlichen Entscheidung an das Berufungsgericht, allenfalls an das
Erstgericht zurückverweisen;</w:t>
      </w:r>
    </w:p>
    <w:p>
      <w:pPr>
        <w:numPr>
          <w:ilvl w:val="0"/>
          <w:numId w:val="77139518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dem Beklagten den Ersatz der Kosten des Verfahrens aller
Instanzen an die Klägerin unter Anwendung des § 19a RAO binnen
14 Tagen bei sonstiger Exekution auferlegen.</w:t>
      </w:r>
    </w:p>
    <w:p>
      <w:pPr>
        <w:widowControl w:val="on"/>
        <w:pBdr/>
        <w:spacing w:before="140" w:after="240" w:line="288" w:lineRule="auto"/>
        <w:ind w:left="0" w:right="0"/>
        <w:jc w:val="left"/>
      </w:pPr>
      <w:r>
        <w:rPr>
          <w:rFonts w:ascii="Arial" w:hAnsi="Arial" w:eastAsia="Arial" w:cs="Arial"/>
          <w:color w:val="000000"/>
          <w:sz w:val="20"/>
          <w:szCs w:val="20"/>
        </w:rPr>
        <w:t xml:space="preserve">An Kosten werden verzeichnet:</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tblGrid>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Revisionsinteresse: EUR 39.000,–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Revision verfasst TP 3C</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1.092,60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zuzüglich 50 % Einheitssatz</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546,30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zuzüglich ERV-Zuschlag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1,80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zuzüglich 20 % USt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328,14</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zuzüglich Gerichtspauschalgebühr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2.593,00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Summe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b/>
                <w:bCs/>
                <w:color w:val="000000"/>
                <w:position w:val="0"/>
                <w:sz w:val="20"/>
                <w:szCs w:val="20"/>
                <w:shd w:val="clear" w:color="auto" w:fill="FFFFFF"/>
              </w:rPr>
              <w:t xml:space="preserve">4.561,84</w:t>
            </w:r>
          </w:p>
        </w:tc>
      </w:tr>
    </w:tbl>
    <w:p>
      <w:r>
        <w:pict>
          <v:rect id="_x0000_i1026" style="width:0;height:1.5pt" o:hralign="center" o:hrstd="t" o:hr="t" o:hrnoshade="t" fillcolor="#a0a0a0" stroked="f"/>
        </w:pic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67343334" w:name="note1"/>
            <w:bookmarkEnd w:id="67343334"/>
            <w:bookmarkStart w:id="7890506227784" w:name="note1"/>
            <w:r>
              <w:rPr>
                <w:rFonts w:ascii="Arial" w:hAnsi="Arial" w:eastAsia="Arial" w:cs="Arial"/>
                <w:b/>
                <w:bCs/>
                <w:color w:val="000000"/>
                <w:position w:val="0"/>
                <w:sz w:val="20"/>
                <w:szCs w:val="20"/>
              </w:rPr>
              <w:t xml:space="preserve">[1]</w:t>
            </w:r>
            <w:bookmarkEnd w:id="7890506227784"/>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außerordentliche Revision setzt voraus, dass die ordentliche
Revision vom Berufungsgericht nicht zugelassen wurde. Sie kann
jedoch nur erhoben werden, wenn der Wert des
Entscheidungsgegenstandes EUR 30.000,– übersteigt, und weiters
– unabhängig vom Wert des Entscheidungsgegenstandes – in bestimmten
bestandrechtlichen Angelegenheiten, in bestimmten ehe- und
familienrechtlichen Angelegenheiten sowie betreffend Verbands- und
Musterklagen gem § 29 KSchG und arbeits- und
sozialrechtliche Streitigkeiten.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8769445" w:name="note2"/>
            <w:bookmarkEnd w:id="58769445"/>
            <w:bookmarkStart w:id="1694018267647" w:name="note2"/>
            <w:r>
              <w:rPr>
                <w:rFonts w:ascii="Arial" w:hAnsi="Arial" w:eastAsia="Arial" w:cs="Arial"/>
                <w:b/>
                <w:bCs/>
                <w:color w:val="000000"/>
                <w:position w:val="0"/>
                <w:sz w:val="20"/>
                <w:szCs w:val="20"/>
              </w:rPr>
              <w:t xml:space="preserve">[2]</w:t>
            </w:r>
            <w:bookmarkEnd w:id="1694018267647"/>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außerordentliche Revision ist binnen der Notfrist von vier
Wochen beim Erstgericht einzubringen (und zwar in so vielen
Ausfertigungen, wie Verfahrensparteien vorhanden sind, im
Musterbeispiel also zweifach; eine Direktzustellung an den
Gegenvertreter gem § 112 ZPO ist nicht zulässig). Das
Erstgericht prüft die sonstigen Zulässigkeitsvoraussetzungen
(insbesondere die fristgerechte Einbringung) und legt die
außerordentliche Revision sodann dem OGH vor, der zunächst prüft,
ob eine Rechtsfrage von erheblicher Bedeutung vorliegt (vgl zum
Verfahren </w:t>
            </w:r>
            <w:r>
              <w:rPr>
                <w:rFonts w:ascii="Arial" w:hAnsi="Arial" w:eastAsia="Arial" w:cs="Arial"/>
                <w:i/>
                <w:iCs/>
                <w:color w:val="000000"/>
                <w:position w:val="0"/>
                <w:sz w:val="20"/>
                <w:szCs w:val="20"/>
              </w:rPr>
              <w:t xml:space="preserve">Rechberger/Simotta,</w:t>
            </w:r>
            <w:r>
              <w:rPr>
                <w:rFonts w:ascii="Arial" w:hAnsi="Arial" w:eastAsia="Arial" w:cs="Arial"/>
                <w:color w:val="000000"/>
                <w:position w:val="0"/>
                <w:sz w:val="20"/>
                <w:szCs w:val="20"/>
              </w:rPr>
              <w:t xml:space="preserve">
Zivilprozessrecht</w:t>
            </w:r>
            <w:r>
              <w:rPr>
                <w:rFonts w:ascii="Arial" w:hAnsi="Arial" w:eastAsia="Arial" w:cs="Arial"/>
                <w:color w:val="000000"/>
                <w:position w:val="3"/>
                <w:sz w:val="18"/>
                <w:szCs w:val="18"/>
                <w:vertAlign w:val="superscript"/>
              </w:rPr>
              <w:t xml:space="preserve">8</w:t>
            </w:r>
            <w:r>
              <w:rPr>
                <w:rFonts w:ascii="Arial" w:hAnsi="Arial" w:eastAsia="Arial" w:cs="Arial"/>
                <w:color w:val="000000"/>
                <w:position w:val="0"/>
                <w:sz w:val="20"/>
                <w:szCs w:val="20"/>
              </w:rPr>
              <w:t xml:space="preserve"> Rz 1049). Liegt keine
Rechtsfrage von erheblicher Bedeutung vor, wird die Revision
zurückgewiesen, andernfalls entscheidet der OGH über die Revision.
Dem Gegner wird die Revisionsbeantwortung vom OGH erst dann
freigestellt, wenn der OGH nicht schon bei der ersten Prüfung zu
dem Ergebnis kommt, dass die außerordentliche Revision zu verwerfen
ist. Der OGH kann die außerordentliche Revision allerdings danach
immer noch verwerfen. Stellt der OGH die Revisionsbeantwortung
frei, indiziert das aber zumeist, dass er die Revision (endgültig)
zulässt.</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8103153" w:name="note3"/>
            <w:bookmarkEnd w:id="18103153"/>
            <w:bookmarkStart w:id="2199394726278" w:name="note3"/>
            <w:r>
              <w:rPr>
                <w:rFonts w:ascii="Arial" w:hAnsi="Arial" w:eastAsia="Arial" w:cs="Arial"/>
                <w:b/>
                <w:bCs/>
                <w:color w:val="000000"/>
                <w:position w:val="0"/>
                <w:sz w:val="20"/>
                <w:szCs w:val="20"/>
              </w:rPr>
              <w:t xml:space="preserve">[3]</w:t>
            </w:r>
            <w:bookmarkEnd w:id="2199394726278"/>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Auf die sorgfältige Darstellung der Rechtsfrage von erheblicher
Bedeutung ist größtes Augenmerk zu legen, weil man den OGH immerhin
davon überzeugen muss, dass eine solche – entgegen dem Ausspruch
des Berufungsgerichtes – gegeben ist. In bestimmten
Rechtssachen, die in § 502 Abs 5 ZPO genannt sind, ist
die Zulässigkeit der außerordentlichen Revision unabhängig vom Wert
des Entscheidungsgegenstandes.</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7118150" w:name="note4"/>
            <w:bookmarkEnd w:id="57118150"/>
            <w:bookmarkStart w:id="4218929285363" w:name="note4"/>
            <w:r>
              <w:rPr>
                <w:rFonts w:ascii="Arial" w:hAnsi="Arial" w:eastAsia="Arial" w:cs="Arial"/>
                <w:b/>
                <w:bCs/>
                <w:color w:val="000000"/>
                <w:position w:val="0"/>
                <w:sz w:val="20"/>
                <w:szCs w:val="20"/>
              </w:rPr>
              <w:t xml:space="preserve">[4]</w:t>
            </w:r>
            <w:bookmarkEnd w:id="4218929285363"/>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außerordentliche Revision muss den Antrag enthalten, dass
sie vom OGH als zulässig erachtet (= angenommen) wird.</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8748725" w:name="note5"/>
            <w:bookmarkEnd w:id="38748725"/>
            <w:bookmarkStart w:id="3339012055859" w:name="note5"/>
            <w:r>
              <w:rPr>
                <w:rFonts w:ascii="Arial" w:hAnsi="Arial" w:eastAsia="Arial" w:cs="Arial"/>
                <w:b/>
                <w:bCs/>
                <w:color w:val="000000"/>
                <w:position w:val="0"/>
                <w:sz w:val="20"/>
                <w:szCs w:val="20"/>
              </w:rPr>
              <w:t xml:space="preserve">[5]</w:t>
            </w:r>
            <w:bookmarkEnd w:id="3339012055859"/>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Zu den Kosten ist zu bemerken, dass die Gerichtspauschalgebühr
sogleich bei Einbringung der außerordentlichen Revision zu
entrichten ist, und für den Fall, dass die außerordentliche
Revision nicht zugelassen wird, nicht zurückerstattet wird (vgl Anm
2 zu TP 3 GGG).</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71395187">
    <w:multiLevelType w:val="hybridMultilevel"/>
    <w:lvl w:ilvl="0">
      <w:start w:val="1"/>
      <w:numFmt w:val="decimal"/>
      <w:lvlText w:val="%1."/>
      <w:lvlJc w:val="left"/>
      <w:pPr>
        <w:ind w:left="720" w:hanging="360"/>
      </w:pPr>
      <w:rPr/>
    </w:lvl>
    <w:lvl w:ilvl="1">
      <w:start w:val="1"/>
      <w:numFmt w:val="lowerLetter"/>
      <w:lvlText w:val="%2."/>
      <w:lvlJc w:val="left"/>
      <w:pPr>
        <w:ind w:left="1440" w:hanging="360"/>
      </w:pPr>
      <w:rPr/>
    </w:lvl>
    <w:lvl w:ilvl="2">
      <w:start w:val=""/>
      <w:numFmt w:val="decimal"/>
      <w:lvlText w:val="%3."/>
      <w:lvlJc w:val="left"/>
      <w:pPr>
        <w:ind w:left="2160" w:hanging="360"/>
      </w:pPr>
      <w:rPr/>
    </w:lvl>
    <w:lvl w:ilvl="3">
      <w:start w:val=""/>
      <w:numFmt w:val="lowerLetter"/>
      <w:lvlText w:val="%4."/>
      <w:lvlJc w:val="left"/>
      <w:pPr>
        <w:ind w:left="2880" w:hanging="360"/>
      </w:pPr>
      <w:rPr/>
    </w:lvl>
    <w:lvl w:ilvl="4">
      <w:start w:val=""/>
      <w:numFmt w:val="decimal"/>
      <w:lvlText w:val="%5."/>
      <w:lvlJc w:val="left"/>
      <w:pPr>
        <w:ind w:left="3600" w:hanging="360"/>
      </w:pPr>
      <w:rPr/>
    </w:lvl>
    <w:lvl w:ilvl="5">
      <w:start w:val=""/>
      <w:numFmt w:val="lowerLetter"/>
      <w:lvlText w:val="%6."/>
      <w:lvlJc w:val="left"/>
      <w:pPr>
        <w:ind w:left="4320" w:hanging="360"/>
      </w:pPr>
      <w:rPr/>
    </w:lvl>
    <w:lvl w:ilvl="6">
      <w:start w:val=""/>
      <w:numFmt w:val="decimal"/>
      <w:lvlText w:val="%7."/>
      <w:lvlJc w:val="left"/>
      <w:pPr>
        <w:ind w:left="5040" w:hanging="360"/>
      </w:pPr>
      <w:rPr/>
    </w:lvl>
    <w:lvl w:ilvl="7">
      <w:start w:val=""/>
      <w:numFmt w:val="lowerLetter"/>
      <w:lvlText w:val="%8."/>
      <w:lvlJc w:val="left"/>
      <w:pPr>
        <w:ind w:left="5760" w:hanging="360"/>
      </w:pPr>
      <w:rPr/>
    </w:lvl>
    <w:lvl w:ilvl="8">
      <w:start w:val=""/>
      <w:numFmt w:val="decimal"/>
      <w:lvlText w:val="%9."/>
      <w:lvlJc w:val="left"/>
      <w:pPr>
        <w:ind w:left="6480" w:hanging="360"/>
      </w:pPr>
      <w:rPr/>
    </w:lvl>
  </w:abstractNum>
  <w:abstractNum w:abstractNumId="619920046">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31577489">
    <w:multiLevelType w:val="hybridMultilevel"/>
    <w:lvl w:ilvl="0" w:tplc="15657921">
      <w:start w:val="1"/>
      <w:numFmt w:val="decimal"/>
      <w:lvlText w:val="%1."/>
      <w:lvlJc w:val="left"/>
      <w:pPr>
        <w:ind w:left="720" w:hanging="360"/>
      </w:pPr>
    </w:lvl>
    <w:lvl w:ilvl="1" w:tplc="15657921" w:tentative="1">
      <w:start w:val="1"/>
      <w:numFmt w:val="lowerLetter"/>
      <w:lvlText w:val="%2."/>
      <w:lvlJc w:val="left"/>
      <w:pPr>
        <w:ind w:left="1440" w:hanging="360"/>
      </w:pPr>
    </w:lvl>
    <w:lvl w:ilvl="2" w:tplc="15657921" w:tentative="1">
      <w:start w:val="1"/>
      <w:numFmt w:val="lowerRoman"/>
      <w:lvlText w:val="%3."/>
      <w:lvlJc w:val="right"/>
      <w:pPr>
        <w:ind w:left="2160" w:hanging="180"/>
      </w:pPr>
    </w:lvl>
    <w:lvl w:ilvl="3" w:tplc="15657921" w:tentative="1">
      <w:start w:val="1"/>
      <w:numFmt w:val="decimal"/>
      <w:lvlText w:val="%4."/>
      <w:lvlJc w:val="left"/>
      <w:pPr>
        <w:ind w:left="2880" w:hanging="360"/>
      </w:pPr>
    </w:lvl>
    <w:lvl w:ilvl="4" w:tplc="15657921" w:tentative="1">
      <w:start w:val="1"/>
      <w:numFmt w:val="lowerLetter"/>
      <w:lvlText w:val="%5."/>
      <w:lvlJc w:val="left"/>
      <w:pPr>
        <w:ind w:left="3600" w:hanging="360"/>
      </w:pPr>
    </w:lvl>
    <w:lvl w:ilvl="5" w:tplc="15657921" w:tentative="1">
      <w:start w:val="1"/>
      <w:numFmt w:val="lowerRoman"/>
      <w:lvlText w:val="%6."/>
      <w:lvlJc w:val="right"/>
      <w:pPr>
        <w:ind w:left="4320" w:hanging="180"/>
      </w:pPr>
    </w:lvl>
    <w:lvl w:ilvl="6" w:tplc="15657921" w:tentative="1">
      <w:start w:val="1"/>
      <w:numFmt w:val="decimal"/>
      <w:lvlText w:val="%7."/>
      <w:lvlJc w:val="left"/>
      <w:pPr>
        <w:ind w:left="5040" w:hanging="360"/>
      </w:pPr>
    </w:lvl>
    <w:lvl w:ilvl="7" w:tplc="15657921" w:tentative="1">
      <w:start w:val="1"/>
      <w:numFmt w:val="lowerLetter"/>
      <w:lvlText w:val="%8."/>
      <w:lvlJc w:val="left"/>
      <w:pPr>
        <w:ind w:left="5760" w:hanging="360"/>
      </w:pPr>
    </w:lvl>
    <w:lvl w:ilvl="8" w:tplc="15657921" w:tentative="1">
      <w:start w:val="1"/>
      <w:numFmt w:val="lowerRoman"/>
      <w:lvlText w:val="%9."/>
      <w:lvlJc w:val="right"/>
      <w:pPr>
        <w:ind w:left="6480" w:hanging="180"/>
      </w:pPr>
    </w:lvl>
  </w:abstractNum>
  <w:abstractNum w:abstractNumId="31577488">
    <w:multiLevelType w:val="hybridMultilevel"/>
    <w:lvl w:ilvl="0" w:tplc="49788234">
      <w:start w:val="1"/>
      <w:numFmt w:val="decimal"/>
      <w:lvlText w:val="%1."/>
      <w:lvlJc w:val="left"/>
      <w:pPr>
        <w:ind w:left="720" w:hanging="360"/>
      </w:pPr>
    </w:lvl>
    <w:lvl w:ilvl="1" w:tplc="49788234" w:tentative="1">
      <w:start w:val="1"/>
      <w:numFmt w:val="lowerLetter"/>
      <w:lvlText w:val="%2."/>
      <w:lvlJc w:val="left"/>
      <w:pPr>
        <w:ind w:left="1440" w:hanging="360"/>
      </w:pPr>
    </w:lvl>
    <w:lvl w:ilvl="2" w:tplc="49788234" w:tentative="1">
      <w:start w:val="1"/>
      <w:numFmt w:val="lowerRoman"/>
      <w:lvlText w:val="%3."/>
      <w:lvlJc w:val="right"/>
      <w:pPr>
        <w:ind w:left="2160" w:hanging="180"/>
      </w:pPr>
    </w:lvl>
    <w:lvl w:ilvl="3" w:tplc="49788234" w:tentative="1">
      <w:start w:val="1"/>
      <w:numFmt w:val="decimal"/>
      <w:lvlText w:val="%4."/>
      <w:lvlJc w:val="left"/>
      <w:pPr>
        <w:ind w:left="2880" w:hanging="360"/>
      </w:pPr>
    </w:lvl>
    <w:lvl w:ilvl="4" w:tplc="49788234" w:tentative="1">
      <w:start w:val="1"/>
      <w:numFmt w:val="lowerLetter"/>
      <w:lvlText w:val="%5."/>
      <w:lvlJc w:val="left"/>
      <w:pPr>
        <w:ind w:left="3600" w:hanging="360"/>
      </w:pPr>
    </w:lvl>
    <w:lvl w:ilvl="5" w:tplc="49788234" w:tentative="1">
      <w:start w:val="1"/>
      <w:numFmt w:val="lowerRoman"/>
      <w:lvlText w:val="%6."/>
      <w:lvlJc w:val="right"/>
      <w:pPr>
        <w:ind w:left="4320" w:hanging="180"/>
      </w:pPr>
    </w:lvl>
    <w:lvl w:ilvl="6" w:tplc="49788234" w:tentative="1">
      <w:start w:val="1"/>
      <w:numFmt w:val="decimal"/>
      <w:lvlText w:val="%7."/>
      <w:lvlJc w:val="left"/>
      <w:pPr>
        <w:ind w:left="5040" w:hanging="360"/>
      </w:pPr>
    </w:lvl>
    <w:lvl w:ilvl="7" w:tplc="49788234" w:tentative="1">
      <w:start w:val="1"/>
      <w:numFmt w:val="lowerLetter"/>
      <w:lvlText w:val="%8."/>
      <w:lvlJc w:val="left"/>
      <w:pPr>
        <w:ind w:left="5760" w:hanging="360"/>
      </w:pPr>
    </w:lvl>
    <w:lvl w:ilvl="8" w:tplc="49788234" w:tentative="1">
      <w:start w:val="1"/>
      <w:numFmt w:val="lowerRoman"/>
      <w:lvlText w:val="%9."/>
      <w:lvlJc w:val="right"/>
      <w:pPr>
        <w:ind w:left="6480" w:hanging="180"/>
      </w:pPr>
    </w:lvl>
  </w:abstractNum>
  <w:abstractNum w:abstractNumId="461260478">
    <w:multiLevelType w:val="hybridMultilevel"/>
    <w:lvl w:ilvl="0">
      <w:start w:val="1"/>
      <w:numFmt w:val="decimal"/>
      <w:lvlText w:val="%1."/>
      <w:lvlJc w:val="left"/>
      <w:pPr>
        <w:ind w:left="720" w:hanging="360"/>
      </w:pPr>
      <w:rPr/>
    </w:lvl>
    <w:lvl w:ilvl="1">
      <w:start w:val="1"/>
      <w:numFmt w:val="lowerLetter"/>
      <w:lvlText w:val="%2."/>
      <w:lvlJc w:val="left"/>
      <w:pPr>
        <w:ind w:left="1440" w:hanging="360"/>
      </w:pPr>
      <w:rPr/>
    </w:lvl>
    <w:lvl w:ilvl="2">
      <w:start w:val=""/>
      <w:numFmt w:val="decimal"/>
      <w:lvlText w:val="%3."/>
      <w:lvlJc w:val="left"/>
      <w:pPr>
        <w:ind w:left="2160" w:hanging="360"/>
      </w:pPr>
      <w:rPr/>
    </w:lvl>
    <w:lvl w:ilvl="3">
      <w:start w:val=""/>
      <w:numFmt w:val="lowerLetter"/>
      <w:lvlText w:val="%4."/>
      <w:lvlJc w:val="left"/>
      <w:pPr>
        <w:ind w:left="2880" w:hanging="360"/>
      </w:pPr>
      <w:rPr/>
    </w:lvl>
    <w:lvl w:ilvl="4">
      <w:start w:val=""/>
      <w:numFmt w:val="decimal"/>
      <w:lvlText w:val="%5."/>
      <w:lvlJc w:val="left"/>
      <w:pPr>
        <w:ind w:left="3600" w:hanging="360"/>
      </w:pPr>
      <w:rPr/>
    </w:lvl>
    <w:lvl w:ilvl="5">
      <w:start w:val=""/>
      <w:numFmt w:val="lowerLetter"/>
      <w:lvlText w:val="%6."/>
      <w:lvlJc w:val="left"/>
      <w:pPr>
        <w:ind w:left="4320" w:hanging="360"/>
      </w:pPr>
      <w:rPr/>
    </w:lvl>
    <w:lvl w:ilvl="6">
      <w:start w:val=""/>
      <w:numFmt w:val="decimal"/>
      <w:lvlText w:val="%7."/>
      <w:lvlJc w:val="left"/>
      <w:pPr>
        <w:ind w:left="5040" w:hanging="360"/>
      </w:pPr>
      <w:rPr/>
    </w:lvl>
    <w:lvl w:ilvl="7">
      <w:start w:val=""/>
      <w:numFmt w:val="lowerLetter"/>
      <w:lvlText w:val="%8."/>
      <w:lvlJc w:val="left"/>
      <w:pPr>
        <w:ind w:left="5760" w:hanging="360"/>
      </w:pPr>
      <w:rPr/>
    </w:lvl>
    <w:lvl w:ilvl="8">
      <w:start w:val=""/>
      <w:numFmt w:val="decimal"/>
      <w:lvlText w:val="%9."/>
      <w:lvlJc w:val="left"/>
      <w:pPr>
        <w:ind w:left="6480" w:hanging="360"/>
      </w:pPr>
      <w:rPr/>
    </w:lvl>
  </w:abstractNum>
  <w:abstractNum w:abstractNumId="320643419">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31577487">
    <w:multiLevelType w:val="hybridMultilevel"/>
    <w:lvl w:ilvl="0" w:tplc="35665190">
      <w:start w:val="1"/>
      <w:numFmt w:val="decimal"/>
      <w:lvlText w:val="%1."/>
      <w:lvlJc w:val="left"/>
      <w:pPr>
        <w:ind w:left="720" w:hanging="360"/>
      </w:pPr>
    </w:lvl>
    <w:lvl w:ilvl="1" w:tplc="35665190" w:tentative="1">
      <w:start w:val="1"/>
      <w:numFmt w:val="lowerLetter"/>
      <w:lvlText w:val="%2."/>
      <w:lvlJc w:val="left"/>
      <w:pPr>
        <w:ind w:left="1440" w:hanging="360"/>
      </w:pPr>
    </w:lvl>
    <w:lvl w:ilvl="2" w:tplc="35665190" w:tentative="1">
      <w:start w:val="1"/>
      <w:numFmt w:val="lowerRoman"/>
      <w:lvlText w:val="%3."/>
      <w:lvlJc w:val="right"/>
      <w:pPr>
        <w:ind w:left="2160" w:hanging="180"/>
      </w:pPr>
    </w:lvl>
    <w:lvl w:ilvl="3" w:tplc="35665190" w:tentative="1">
      <w:start w:val="1"/>
      <w:numFmt w:val="decimal"/>
      <w:lvlText w:val="%4."/>
      <w:lvlJc w:val="left"/>
      <w:pPr>
        <w:ind w:left="2880" w:hanging="360"/>
      </w:pPr>
    </w:lvl>
    <w:lvl w:ilvl="4" w:tplc="35665190" w:tentative="1">
      <w:start w:val="1"/>
      <w:numFmt w:val="lowerLetter"/>
      <w:lvlText w:val="%5."/>
      <w:lvlJc w:val="left"/>
      <w:pPr>
        <w:ind w:left="3600" w:hanging="360"/>
      </w:pPr>
    </w:lvl>
    <w:lvl w:ilvl="5" w:tplc="35665190" w:tentative="1">
      <w:start w:val="1"/>
      <w:numFmt w:val="lowerRoman"/>
      <w:lvlText w:val="%6."/>
      <w:lvlJc w:val="right"/>
      <w:pPr>
        <w:ind w:left="4320" w:hanging="180"/>
      </w:pPr>
    </w:lvl>
    <w:lvl w:ilvl="6" w:tplc="35665190" w:tentative="1">
      <w:start w:val="1"/>
      <w:numFmt w:val="decimal"/>
      <w:lvlText w:val="%7."/>
      <w:lvlJc w:val="left"/>
      <w:pPr>
        <w:ind w:left="5040" w:hanging="360"/>
      </w:pPr>
    </w:lvl>
    <w:lvl w:ilvl="7" w:tplc="35665190" w:tentative="1">
      <w:start w:val="1"/>
      <w:numFmt w:val="lowerLetter"/>
      <w:lvlText w:val="%8."/>
      <w:lvlJc w:val="left"/>
      <w:pPr>
        <w:ind w:left="5760" w:hanging="360"/>
      </w:pPr>
    </w:lvl>
    <w:lvl w:ilvl="8" w:tplc="35665190" w:tentative="1">
      <w:start w:val="1"/>
      <w:numFmt w:val="lowerRoman"/>
      <w:lvlText w:val="%9."/>
      <w:lvlJc w:val="right"/>
      <w:pPr>
        <w:ind w:left="6480" w:hanging="180"/>
      </w:pPr>
    </w:lvl>
  </w:abstractNum>
  <w:abstractNum w:abstractNumId="31577486">
    <w:multiLevelType w:val="hybridMultilevel"/>
    <w:lvl w:ilvl="0" w:tplc="3021642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1577486">
    <w:abstractNumId w:val="31577486"/>
  </w:num>
  <w:num w:numId="31577487">
    <w:abstractNumId w:val="31577487"/>
  </w:num>
  <w:num w:numId="320643419">
    <w:abstractNumId w:val="320643419"/>
  </w:num>
  <w:num w:numId="461260478">
    <w:abstractNumId w:val="461260478"/>
  </w:num>
  <w:num w:numId="31577488">
    <w:abstractNumId w:val="31577488"/>
  </w:num>
  <w:num w:numId="31577489">
    <w:abstractNumId w:val="31577489"/>
  </w:num>
  <w:num w:numId="619920046">
    <w:abstractNumId w:val="619920046"/>
  </w:num>
  <w:num w:numId="771395187">
    <w:abstractNumId w:val="77139518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94601149" Type="http://schemas.openxmlformats.org/officeDocument/2006/relationships/numbering" Target="numbering.xml"/><Relationship Id="rId554868605"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