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6552756" w:name="document"/>
    <w:bookmarkEnd w:id="96552756"/>
    <w:p/>
    <w:p>
      <w:pPr>
        <w:widowControl w:val="on"/>
        <w:pBdr/>
        <w:spacing w:before="0" w:after="280" w:line="240" w:lineRule="auto"/>
        <w:ind w:left="0" w:right="0"/>
        <w:jc w:val="left"/>
      </w:pPr>
      <w:r>
        <w:rPr>
          <w:rFonts w:ascii="Arial" w:hAnsi="Arial" w:eastAsia="Arial" w:cs="Arial"/>
          <w:color w:val="363A40"/>
          <w:sz w:val="24"/>
          <w:szCs w:val="24"/>
        </w:rPr>
        <w:t xml:space="preserve">Dokument-ID: 1118381 | Martin Klemm - FORUM
Media (red)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Berichtigungsantrag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Dieses Muster dient der Beantragung der Richtigstellung von
offensichtlichen Unrichtigkeiten eines Urteils. Es wird nicht eine
inhaltliche Änderung des Urteils angestrebt, sondern die Korrektur
von offenkundigen Rechenfehlern, Zahlenstürzen und sonstigen
redaktionellen Fehlern.</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Martin Klemm,
LL.M.</w:t>
      </w:r>
      <w:r>
        <w:rPr>
          <w:rFonts w:ascii="Arial" w:hAnsi="Arial" w:eastAsia="Arial" w:cs="Arial"/>
          <w:color w:val="000000"/>
          <w:sz w:val="20"/>
          <w:szCs w:val="20"/>
        </w:rPr>
        <w:br/>
        <w:t xml:space="preserve">Wiedner Hauptstraße 120/5.1</w:t>
      </w:r>
      <w:r>
        <w:rPr>
          <w:rFonts w:ascii="Arial" w:hAnsi="Arial" w:eastAsia="Arial" w:cs="Arial"/>
          <w:color w:val="000000"/>
          <w:sz w:val="20"/>
          <w:szCs w:val="20"/>
        </w:rPr>
        <w:br/>
        <w:t xml:space="preserve">1050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für Handelssachen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27.09.2021</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 Genau</w:t>
            </w:r>
            <w:r>
              <w:rPr>
                <w:rFonts w:ascii="Arial" w:hAnsi="Arial" w:eastAsia="Arial" w:cs="Arial"/>
                <w:color w:val="000000"/>
                <w:position w:val="0"/>
                <w:sz w:val="20"/>
                <w:szCs w:val="20"/>
                <w:shd w:val="clear" w:color="auto" w:fill="FFFFFF"/>
              </w:rPr>
              <w:br/>
              <w:t xml:space="preserve">Bahngasse 23</w:t>
            </w:r>
            <w:r>
              <w:rPr>
                <w:rFonts w:ascii="Arial" w:hAnsi="Arial" w:eastAsia="Arial" w:cs="Arial"/>
                <w:color w:val="000000"/>
                <w:position w:val="0"/>
                <w:sz w:val="20"/>
                <w:szCs w:val="20"/>
                <w:shd w:val="clear" w:color="auto" w:fill="FFFFFF"/>
              </w:rPr>
              <w:br/>
              <w:t xml:space="preserve">1130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Martin Klemm, LL.M.</w:t>
            </w:r>
            <w:r>
              <w:rPr>
                <w:rFonts w:ascii="Arial" w:hAnsi="Arial" w:eastAsia="Arial" w:cs="Arial"/>
                <w:color w:val="000000"/>
                <w:position w:val="0"/>
                <w:sz w:val="20"/>
                <w:szCs w:val="20"/>
                <w:shd w:val="clear" w:color="auto" w:fill="FFFFFF"/>
              </w:rPr>
              <w:br/>
              <w:t xml:space="preserve">Wiedner Hauptstraße 120/5.1</w:t>
            </w:r>
            <w:r>
              <w:rPr>
                <w:rFonts w:ascii="Arial" w:hAnsi="Arial" w:eastAsia="Arial" w:cs="Arial"/>
                <w:color w:val="000000"/>
                <w:position w:val="0"/>
                <w:sz w:val="20"/>
                <w:szCs w:val="20"/>
                <w:shd w:val="clear" w:color="auto" w:fill="FFFFFF"/>
              </w:rPr>
              <w:br/>
              <w:t xml:space="preserve">1050 Wien</w:t>
            </w:r>
            <w:r>
              <w:rPr>
                <w:rFonts w:ascii="Arial" w:hAnsi="Arial" w:eastAsia="Arial" w:cs="Arial"/>
                <w:color w:val="000000"/>
                <w:position w:val="0"/>
                <w:sz w:val="20"/>
                <w:szCs w:val="20"/>
                <w:shd w:val="clear" w:color="auto" w:fill="FFFFFF"/>
              </w:rPr>
              <w:b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Theodor Taxi GmbH</w:t>
            </w:r>
            <w:r>
              <w:rPr>
                <w:rFonts w:ascii="Arial" w:hAnsi="Arial" w:eastAsia="Arial" w:cs="Arial"/>
                <w:color w:val="000000"/>
                <w:position w:val="0"/>
                <w:sz w:val="20"/>
                <w:szCs w:val="20"/>
                <w:shd w:val="clear" w:color="auto" w:fill="FFFFFF"/>
              </w:rPr>
              <w:br/>
              <w:t xml:space="preserve">Busstraße 34/3</w:t>
            </w:r>
            <w:r>
              <w:rPr>
                <w:rFonts w:ascii="Arial" w:hAnsi="Arial" w:eastAsia="Arial" w:cs="Arial"/>
                <w:color w:val="000000"/>
                <w:position w:val="0"/>
                <w:sz w:val="20"/>
                <w:szCs w:val="20"/>
                <w:shd w:val="clear" w:color="auto" w:fill="FFFFFF"/>
              </w:rPr>
              <w:br/>
              <w:t xml:space="preserve">1140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Markus Mayer</w:t>
            </w:r>
            <w:r>
              <w:rPr>
                <w:rFonts w:ascii="Arial" w:hAnsi="Arial" w:eastAsia="Arial" w:cs="Arial"/>
                <w:color w:val="000000"/>
                <w:position w:val="0"/>
                <w:sz w:val="20"/>
                <w:szCs w:val="20"/>
                <w:shd w:val="clear" w:color="auto" w:fill="FFFFFF"/>
              </w:rPr>
              <w:br/>
              <w:t xml:space="preserve">Schottenring 14</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EUR 8.400,– sA</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Berichtigungsantrag
gem § 419 ZPO</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wurde mit Urteil des
Bezirksgerichts für Handelssachen Wien vom 14.09.2021 der Klage der
klagenden Partei zur Gänze Folge gegeben. Aufgrund eines
offenkundigen Rechenfehlers wurde vom Gericht jedoch versehentlich
ein Betrag iHv EUR 8.400,– statt EUR 9.400,–
zugesprochen. Aus diesem Grund stellt die klagende Partei
nachstehenden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Berichtigungsantrag</w:t>
      </w:r>
    </w:p>
    <w:p>
      <w:pPr>
        <w:widowControl w:val="on"/>
        <w:pBdr/>
        <w:spacing w:before="140" w:after="240" w:line="288" w:lineRule="auto"/>
        <w:ind w:left="0" w:right="0"/>
        <w:jc w:val="left"/>
      </w:pPr>
      <w:r>
        <w:rPr>
          <w:rFonts w:ascii="Arial" w:hAnsi="Arial" w:eastAsia="Arial" w:cs="Arial"/>
          <w:color w:val="000000"/>
          <w:sz w:val="20"/>
          <w:szCs w:val="20"/>
        </w:rPr>
        <w:t xml:space="preserve">und führt diesen aus wie folgt:</w:t>
      </w:r>
    </w:p>
    <w:p>
      <w:pPr>
        <w:widowControl w:val="on"/>
        <w:pBdr/>
        <w:spacing w:before="140" w:after="240" w:line="288" w:lineRule="auto"/>
        <w:ind w:left="0" w:right="0"/>
        <w:jc w:val="left"/>
      </w:pPr>
      <w:r>
        <w:rPr>
          <w:rFonts w:ascii="Arial" w:hAnsi="Arial" w:eastAsia="Arial" w:cs="Arial"/>
          <w:color w:val="000000"/>
          <w:sz w:val="20"/>
          <w:szCs w:val="20"/>
        </w:rPr>
        <w:t xml:space="preserve">Das Gericht stellt mit seinem Urteil vom 14.09.2021 fest, dass
der im Vermögen der klagenden Partei eingetretene Schaden
EUR 8.400,– betrage (Seite 5 des Urteils). Diese Feststellung
unterliegt aber offenbar einem Rechenfehler, auf welchen hiermit
hingewiesen wird.</w:t>
      </w:r>
    </w:p>
    <w:p>
      <w:pPr>
        <w:widowControl w:val="on"/>
        <w:pBdr/>
        <w:spacing w:before="140" w:after="240" w:line="288" w:lineRule="auto"/>
        <w:ind w:left="0" w:right="0"/>
        <w:jc w:val="left"/>
      </w:pPr>
      <w:r>
        <w:rPr>
          <w:rFonts w:ascii="Arial" w:hAnsi="Arial" w:eastAsia="Arial" w:cs="Arial"/>
          <w:color w:val="000000"/>
          <w:sz w:val="20"/>
          <w:szCs w:val="20"/>
        </w:rPr>
        <w:t xml:space="preserve">Wie aus der Beweiswürdigung (Seite 7 des Urteils) ersichtlich,
stützt das Gericht die genannte Feststellung auf das Gutachten von
Ing. Mayerhofer vom 14.04.2021 (ON 21). Der Sachverständige stellte
in seinem Gutachten fest, dass der am Fahrzeug der klagenden Partei
eingetretene objektive Minderwert EUR 5.800,– betrage. Weiters
liege ein merkantiler Minderwert von EUR 3.600,– vor. Der
damit eingetretene Schaden beläuft sich sohin auf
EUR 9.400,–.</w:t>
      </w:r>
    </w:p>
    <w:p>
      <w:pPr>
        <w:widowControl w:val="on"/>
        <w:pBdr/>
        <w:spacing w:before="140" w:after="240" w:line="288" w:lineRule="auto"/>
        <w:ind w:left="0" w:right="0"/>
        <w:jc w:val="left"/>
      </w:pPr>
      <w:r>
        <w:rPr>
          <w:rFonts w:ascii="Arial" w:hAnsi="Arial" w:eastAsia="Arial" w:cs="Arial"/>
          <w:color w:val="000000"/>
          <w:sz w:val="20"/>
          <w:szCs w:val="20"/>
        </w:rPr>
        <w:t xml:space="preserve">Das Gericht unterlag jedoch bei der getroffenen Feststellung
offensichtlich einem Rechenfehler, sodass es die entsprechende
Feststellung traf, dass der Schaden EUR 8.400,– beträgt.
Dieser Betrag wurde in der Folge auch für den Spruch herangezogen.
Es ist eindeutig erkennbar, dass das Gericht dem Gutachten von Ing.
Mayerhofer (ON 21) vollinhaltlich folgte, und hier die von diesem
angesetzten Werte übernehmen wollte. Für eine allfällige Kürzung
der Beträge findet sich keinerlei Anhaltspunkt, sodass es evident
ist, dass beim Addieren der beiden Teilbeträge der besagte
Rechenfehler auftrat.</w:t>
      </w:r>
    </w:p>
    <w:p>
      <w:pPr>
        <w:widowControl w:val="on"/>
        <w:pBdr/>
        <w:spacing w:before="140" w:after="240" w:line="288" w:lineRule="auto"/>
        <w:ind w:left="0" w:right="0"/>
        <w:jc w:val="left"/>
      </w:pPr>
      <w:r>
        <w:rPr>
          <w:rFonts w:ascii="Arial" w:hAnsi="Arial" w:eastAsia="Arial" w:cs="Arial"/>
          <w:color w:val="000000"/>
          <w:sz w:val="20"/>
          <w:szCs w:val="20"/>
        </w:rPr>
        <w:t xml:space="preserve">Obige Ausführungen weisen eindeutig darauf hin, dass dem
Bezirksgericht für Handelssachen Wien einfach nur ein Rechenfehler
unterlaufen ist, der gem § 419 ZPO zu berichtigen ist.
Unter Bezugnahme auf das obige Vorbringen stellt die klagende
Partei sohin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das Bezirksgericht für Handelssachen Wien möge die dargelegten
Berechnungen berücksichtigen und</w:t>
      </w:r>
    </w:p>
    <w:p>
      <w:pPr>
        <w:numPr>
          <w:ilvl w:val="0"/>
          <w:numId w:val="2455568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Feststellung auf Seite 5 des Urteils vom 14.09.2021
dahingehend berichtigen, sodass diese nunmehr zu lauten hat</w:t>
      </w:r>
      <w:r>
        <w:rPr>
          <w:rFonts w:ascii="Arial" w:hAnsi="Arial" w:eastAsia="Arial" w:cs="Arial"/>
          <w:i/>
          <w:iCs/>
          <w:color w:val="000000"/>
          <w:sz w:val="20"/>
          <w:szCs w:val="20"/>
        </w:rPr>
        <w:br/>
        <w:t xml:space="preserve">„Der sohin im Vermögen der klagenden Partei eingetretene
Schaden beläuft sich auf EUR 9.400,–;“</w:t>
      </w:r>
    </w:p>
    <w:p>
      <w:pPr>
        <w:numPr>
          <w:ilvl w:val="0"/>
          <w:numId w:val="2455568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Spruch im Urteil vom 14.09.2021 im ersten Punkt dahingehend
berichtigen, sodass dieser nunmehr zu lauten hat</w:t>
      </w:r>
      <w:r>
        <w:rPr>
          <w:rFonts w:ascii="Arial" w:hAnsi="Arial" w:eastAsia="Arial" w:cs="Arial"/>
          <w:i/>
          <w:iCs/>
          <w:color w:val="000000"/>
          <w:sz w:val="20"/>
          <w:szCs w:val="20"/>
        </w:rPr>
        <w:br/>
        <w:t xml:space="preserve">„Die beklagte Partei ist schuldig, der beklagten Partei den
Betrag in Höhe von EUR 9.400,– zu bezahlen“.</w:t>
      </w:r>
    </w:p>
    <w:p>
      <w:pPr>
        <w:widowControl w:val="on"/>
        <w:pBdr/>
        <w:spacing w:before="140" w:after="240" w:line="288" w:lineRule="auto"/>
        <w:ind w:left="0" w:right="0"/>
        <w:jc w:val="left"/>
      </w:pPr>
      <w:r>
        <w:rPr>
          <w:rFonts w:ascii="Arial" w:hAnsi="Arial" w:eastAsia="Arial" w:cs="Arial"/>
          <w:color w:val="000000"/>
          <w:sz w:val="20"/>
          <w:szCs w:val="20"/>
        </w:rPr>
        <w:t xml:space="preserve">Michael Genau</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Kostenverzeichnis: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Bemessungsgrundlage (RATG/GGG):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8.400,00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Berichtigungsantrag (TP 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29,20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60 % Einheitssatz</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17,52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Erhöhungsbeitrag (ERV)</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Summe USt-pflichtig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b/>
                <w:bCs/>
                <w:color w:val="000000"/>
                <w:position w:val="0"/>
                <w:sz w:val="20"/>
                <w:szCs w:val="20"/>
                <w:shd w:val="clear" w:color="auto" w:fill="FFFFFF"/>
              </w:rPr>
              <w:t xml:space="preserve">48,82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9,76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Insgesamt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b/>
                <w:bCs/>
                <w:color w:val="000000"/>
                <w:position w:val="0"/>
                <w:sz w:val="20"/>
                <w:szCs w:val="20"/>
                <w:shd w:val="clear" w:color="auto" w:fill="FFFFFF"/>
              </w:rPr>
              <w:t xml:space="preserve">58,58</w:t>
            </w:r>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4646868" w:name="note1"/>
            <w:bookmarkEnd w:id="94646868"/>
            <w:bookmarkStart w:id="9292154327458" w:name="note1"/>
            <w:r>
              <w:rPr>
                <w:rFonts w:ascii="Arial" w:hAnsi="Arial" w:eastAsia="Arial" w:cs="Arial"/>
                <w:b/>
                <w:bCs/>
                <w:color w:val="000000"/>
                <w:position w:val="0"/>
                <w:sz w:val="20"/>
                <w:szCs w:val="20"/>
              </w:rPr>
              <w:t xml:space="preserve">[1]</w:t>
            </w:r>
            <w:bookmarkEnd w:id="929215432745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einem Berichtigungsantrag handelt es sich um einen
Rechtsbehelf, sohin um eine Verfahrenshandlung, die die
erstinstanzliche Entscheidung betrifft und diese bekämpfen bzw
deren Abänderung bewirken soll, ohne jedoch ein Rechtsmittel im
engeren Sinne zu sein. Berichtigungsanträge können auch
Entscheidungen höherer Gerichte betreffen, wobei in diesem Fall die
Berichtigung durch das jeweils das Urteil oder den Beschluss
erlassende Gericht erfolgen muss.</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3475227" w:name="note2"/>
            <w:bookmarkEnd w:id="83475227"/>
            <w:bookmarkStart w:id="9704716466033" w:name="note2"/>
            <w:r>
              <w:rPr>
                <w:rFonts w:ascii="Arial" w:hAnsi="Arial" w:eastAsia="Arial" w:cs="Arial"/>
                <w:b/>
                <w:bCs/>
                <w:color w:val="000000"/>
                <w:position w:val="0"/>
                <w:sz w:val="20"/>
                <w:szCs w:val="20"/>
              </w:rPr>
              <w:t xml:space="preserve">[2]</w:t>
            </w:r>
            <w:bookmarkEnd w:id="970471646603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Berichtigt werden können gem § 419 ZPO „offenbare
Unrichtigkeiten“ des Urteils, die aus dem Zusammenhang des Urteils
für jedermann erkennbar sind (Rechberger in Rechberger, ZPO4
§ 419 Rz 1 mwN). Die Abgrenzung, welche Fehler im Urteil
noch unter diesen Begriff fallen, sind zum Teil recht kasuistisch,
hängen also in der Regel vom Einzelfall ab (vgl </w:t>
            </w:r>
            <w:r>
              <w:rPr>
                <w:rFonts w:ascii="Arial" w:hAnsi="Arial" w:eastAsia="Arial" w:cs="Arial"/>
                <w:i/>
                <w:iCs/>
                <w:color w:val="000000"/>
                <w:position w:val="0"/>
                <w:sz w:val="20"/>
                <w:szCs w:val="20"/>
              </w:rPr>
              <w:t xml:space="preserve">Rechberger</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Rechberger</w:t>
            </w:r>
            <w:r>
              <w:rPr>
                <w:rFonts w:ascii="Arial" w:hAnsi="Arial" w:eastAsia="Arial" w:cs="Arial"/>
                <w:color w:val="000000"/>
                <w:position w:val="0"/>
                <w:sz w:val="20"/>
                <w:szCs w:val="20"/>
              </w:rPr>
              <w:t xml:space="preserve">, ZPO4 Rz 5). Es können aber auch
sinnstörende Auslassungen, die am wahren Willen des Gerichts keinen
Zweifel lassen, berichtigt werden (</w:t>
            </w:r>
            <w:r>
              <w:rPr>
                <w:rFonts w:ascii="Arial" w:hAnsi="Arial" w:eastAsia="Arial" w:cs="Arial"/>
                <w:i/>
                <w:iCs/>
                <w:color w:val="000000"/>
                <w:position w:val="0"/>
                <w:sz w:val="20"/>
                <w:szCs w:val="20"/>
              </w:rPr>
              <w:t xml:space="preserve">Fasching</w:t>
            </w:r>
            <w:r>
              <w:rPr>
                <w:rFonts w:ascii="Arial" w:hAnsi="Arial" w:eastAsia="Arial" w:cs="Arial"/>
                <w:color w:val="000000"/>
                <w:position w:val="0"/>
                <w:sz w:val="20"/>
                <w:szCs w:val="20"/>
              </w:rPr>
              <w:t xml:space="preserve">, Lehrbuch des
österreichischen Zivilprozeßrechts</w:t>
            </w:r>
            <w:r>
              <w:rPr>
                <w:rFonts w:ascii="Arial" w:hAnsi="Arial" w:eastAsia="Arial" w:cs="Arial"/>
                <w:color w:val="000000"/>
                <w:position w:val="3"/>
                <w:sz w:val="18"/>
                <w:szCs w:val="18"/>
                <w:vertAlign w:val="superscript"/>
              </w:rPr>
              <w:t xml:space="preserve">2</w:t>
            </w:r>
            <w:r>
              <w:rPr>
                <w:rFonts w:ascii="Arial" w:hAnsi="Arial" w:eastAsia="Arial" w:cs="Arial"/>
                <w:color w:val="000000"/>
                <w:position w:val="0"/>
                <w:sz w:val="20"/>
                <w:szCs w:val="20"/>
              </w:rPr>
              <w:t xml:space="preserve"> [1990] Rz 1567;
GH 1931, 34).</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5122063" w:name="note3"/>
            <w:bookmarkEnd w:id="65122063"/>
            <w:bookmarkStart w:id="7844018329611" w:name="note3"/>
            <w:r>
              <w:rPr>
                <w:rFonts w:ascii="Arial" w:hAnsi="Arial" w:eastAsia="Arial" w:cs="Arial"/>
                <w:b/>
                <w:bCs/>
                <w:color w:val="000000"/>
                <w:position w:val="0"/>
                <w:sz w:val="20"/>
                <w:szCs w:val="20"/>
              </w:rPr>
              <w:t xml:space="preserve">[3]</w:t>
            </w:r>
            <w:bookmarkEnd w:id="784401832961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Berichtigung kann jederzeit, auch nach Eintritt der
formellen Rechtskraft (7 Ob 204/10s mWn) erfolgen.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2302279" w:name="note4"/>
            <w:bookmarkEnd w:id="62302279"/>
            <w:bookmarkStart w:id="4101388838421" w:name="note4"/>
            <w:r>
              <w:rPr>
                <w:rFonts w:ascii="Arial" w:hAnsi="Arial" w:eastAsia="Arial" w:cs="Arial"/>
                <w:b/>
                <w:bCs/>
                <w:color w:val="000000"/>
                <w:position w:val="0"/>
                <w:sz w:val="20"/>
                <w:szCs w:val="20"/>
              </w:rPr>
              <w:t xml:space="preserve">[4]</w:t>
            </w:r>
            <w:bookmarkEnd w:id="410138883842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der Berichtigung stattgebende Beschluss ist mittels
abgesondertem Rekurs anfechtbar. Die Zurückweisung des
Berichtigungsantrages kann nicht mehr gesondert bekämpft werden
(vgl </w:t>
            </w:r>
            <w:r>
              <w:rPr>
                <w:rFonts w:ascii="Arial" w:hAnsi="Arial" w:eastAsia="Arial" w:cs="Arial"/>
                <w:i/>
                <w:iCs/>
                <w:color w:val="000000"/>
                <w:position w:val="0"/>
                <w:sz w:val="20"/>
                <w:szCs w:val="20"/>
              </w:rPr>
              <w:t xml:space="preserve">Rechberger</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Rechberger</w:t>
            </w:r>
            <w:r>
              <w:rPr>
                <w:rFonts w:ascii="Arial" w:hAnsi="Arial" w:eastAsia="Arial" w:cs="Arial"/>
                <w:color w:val="000000"/>
                <w:position w:val="0"/>
                <w:sz w:val="20"/>
                <w:szCs w:val="20"/>
              </w:rPr>
              <w:t xml:space="preserve">, ZPO</w:t>
            </w:r>
            <w:r>
              <w:rPr>
                <w:rFonts w:ascii="Arial" w:hAnsi="Arial" w:eastAsia="Arial" w:cs="Arial"/>
                <w:color w:val="000000"/>
                <w:position w:val="3"/>
                <w:sz w:val="18"/>
                <w:szCs w:val="18"/>
                <w:vertAlign w:val="superscript"/>
              </w:rPr>
              <w:t xml:space="preserve">4</w:t>
            </w:r>
            <w:r>
              <w:rPr>
                <w:rFonts w:ascii="Arial" w:hAnsi="Arial" w:eastAsia="Arial" w:cs="Arial"/>
                <w:color w:val="000000"/>
                <w:position w:val="0"/>
                <w:sz w:val="20"/>
                <w:szCs w:val="20"/>
              </w:rPr>
              <w:t xml:space="preserve">
Rz 9).</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555688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086426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3090749">
    <w:multiLevelType w:val="hybridMultilevel"/>
    <w:lvl w:ilvl="0" w:tplc="29968478">
      <w:start w:val="1"/>
      <w:numFmt w:val="decimal"/>
      <w:lvlText w:val="%1."/>
      <w:lvlJc w:val="left"/>
      <w:pPr>
        <w:ind w:left="720" w:hanging="360"/>
      </w:pPr>
    </w:lvl>
    <w:lvl w:ilvl="1" w:tplc="29968478" w:tentative="1">
      <w:start w:val="1"/>
      <w:numFmt w:val="lowerLetter"/>
      <w:lvlText w:val="%2."/>
      <w:lvlJc w:val="left"/>
      <w:pPr>
        <w:ind w:left="1440" w:hanging="360"/>
      </w:pPr>
    </w:lvl>
    <w:lvl w:ilvl="2" w:tplc="29968478" w:tentative="1">
      <w:start w:val="1"/>
      <w:numFmt w:val="lowerRoman"/>
      <w:lvlText w:val="%3."/>
      <w:lvlJc w:val="right"/>
      <w:pPr>
        <w:ind w:left="2160" w:hanging="180"/>
      </w:pPr>
    </w:lvl>
    <w:lvl w:ilvl="3" w:tplc="29968478" w:tentative="1">
      <w:start w:val="1"/>
      <w:numFmt w:val="decimal"/>
      <w:lvlText w:val="%4."/>
      <w:lvlJc w:val="left"/>
      <w:pPr>
        <w:ind w:left="2880" w:hanging="360"/>
      </w:pPr>
    </w:lvl>
    <w:lvl w:ilvl="4" w:tplc="29968478" w:tentative="1">
      <w:start w:val="1"/>
      <w:numFmt w:val="lowerLetter"/>
      <w:lvlText w:val="%5."/>
      <w:lvlJc w:val="left"/>
      <w:pPr>
        <w:ind w:left="3600" w:hanging="360"/>
      </w:pPr>
    </w:lvl>
    <w:lvl w:ilvl="5" w:tplc="29968478" w:tentative="1">
      <w:start w:val="1"/>
      <w:numFmt w:val="lowerRoman"/>
      <w:lvlText w:val="%6."/>
      <w:lvlJc w:val="right"/>
      <w:pPr>
        <w:ind w:left="4320" w:hanging="180"/>
      </w:pPr>
    </w:lvl>
    <w:lvl w:ilvl="6" w:tplc="29968478" w:tentative="1">
      <w:start w:val="1"/>
      <w:numFmt w:val="decimal"/>
      <w:lvlText w:val="%7."/>
      <w:lvlJc w:val="left"/>
      <w:pPr>
        <w:ind w:left="5040" w:hanging="360"/>
      </w:pPr>
    </w:lvl>
    <w:lvl w:ilvl="7" w:tplc="29968478" w:tentative="1">
      <w:start w:val="1"/>
      <w:numFmt w:val="lowerLetter"/>
      <w:lvlText w:val="%8."/>
      <w:lvlJc w:val="left"/>
      <w:pPr>
        <w:ind w:left="5760" w:hanging="360"/>
      </w:pPr>
    </w:lvl>
    <w:lvl w:ilvl="8" w:tplc="29968478" w:tentative="1">
      <w:start w:val="1"/>
      <w:numFmt w:val="lowerRoman"/>
      <w:lvlText w:val="%9."/>
      <w:lvlJc w:val="right"/>
      <w:pPr>
        <w:ind w:left="6480" w:hanging="180"/>
      </w:pPr>
    </w:lvl>
  </w:abstractNum>
  <w:abstractNum w:abstractNumId="33090748">
    <w:multiLevelType w:val="hybridMultilevel"/>
    <w:lvl w:ilvl="0" w:tplc="295249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090748">
    <w:abstractNumId w:val="33090748"/>
  </w:num>
  <w:num w:numId="33090749">
    <w:abstractNumId w:val="33090749"/>
  </w:num>
  <w:num w:numId="60864265">
    <w:abstractNumId w:val="60864265"/>
  </w:num>
  <w:num w:numId="245556887">
    <w:abstractNumId w:val="2455568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35949407" Type="http://schemas.openxmlformats.org/officeDocument/2006/relationships/numbering" Target="numbering.xml"/><Relationship Id="rId66842422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