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5032913" w:name="document"/>
    <w:bookmarkEnd w:id="85032913"/>
    <w:p/>
    <w:p>
      <w:pPr>
        <w:widowControl w:val="on"/>
        <w:pBdr/>
        <w:spacing w:before="0" w:after="280" w:line="240" w:lineRule="auto"/>
        <w:ind w:left="0" w:right="0"/>
        <w:jc w:val="left"/>
      </w:pPr>
      <w:r>
        <w:rPr>
          <w:rFonts w:ascii="Arial" w:hAnsi="Arial" w:eastAsia="Arial" w:cs="Arial"/>
          <w:color w:val="363A40"/>
          <w:sz w:val="24"/>
          <w:szCs w:val="24"/>
        </w:rPr>
        <w:t xml:space="preserve">Dokument-ID: 822140 | Albert Scherzer -
Alexander Kdolsky | Muster | Behördenschriftsatz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Vorlageantrag</w:t>
      </w:r>
    </w:p>
    <w:p>
      <w:pPr>
        <w:widowControl w:val="on"/>
        <w:pBdr/>
        <w:spacing w:before="140" w:after="240" w:line="288" w:lineRule="auto"/>
        <w:ind w:left="0" w:right="0"/>
        <w:jc w:val="left"/>
      </w:pPr>
      <w:r>
        <w:rPr>
          <w:rFonts w:ascii="Arial" w:hAnsi="Arial" w:eastAsia="Arial" w:cs="Arial"/>
          <w:color w:val="000000"/>
          <w:sz w:val="20"/>
          <w:szCs w:val="20"/>
        </w:rPr>
        <w:t xml:space="preserve">(gem § 64a Abs 2 AVG)</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Bürgermeister der Stadt Gmünd</w:t>
      </w:r>
      <w:r>
        <w:rPr>
          <w:rFonts w:ascii="Arial" w:hAnsi="Arial" w:eastAsia="Arial" w:cs="Arial"/>
          <w:color w:val="000000"/>
          <w:sz w:val="20"/>
          <w:szCs w:val="20"/>
        </w:rPr>
        <w:br/>
        <w:t xml:space="preserve">Schremserstraße 18</w:t>
      </w:r>
      <w:r>
        <w:rPr>
          <w:rFonts w:ascii="Arial" w:hAnsi="Arial" w:eastAsia="Arial" w:cs="Arial"/>
          <w:color w:val="000000"/>
          <w:sz w:val="20"/>
          <w:szCs w:val="20"/>
        </w:rPr>
        <w:br/>
        <w:t xml:space="preserve">3950 Gmünd</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Michaela Perchtl</w:t>
            </w:r>
            <w:r>
              <w:rPr>
                <w:rFonts w:ascii="Arial" w:hAnsi="Arial" w:eastAsia="Arial" w:cs="Arial"/>
                <w:color w:val="000000"/>
                <w:position w:val="0"/>
                <w:sz w:val="20"/>
                <w:szCs w:val="20"/>
                <w:shd w:val="clear" w:color="auto" w:fill="FFFFFF"/>
              </w:rPr>
              <w:br/>
              <w:t xml:space="preserve">geboren am 06.06.1971</w:t>
            </w:r>
            <w:r>
              <w:rPr>
                <w:rFonts w:ascii="Arial" w:hAnsi="Arial" w:eastAsia="Arial" w:cs="Arial"/>
                <w:color w:val="000000"/>
                <w:position w:val="0"/>
                <w:sz w:val="20"/>
                <w:szCs w:val="20"/>
                <w:shd w:val="clear" w:color="auto" w:fill="FFFFFF"/>
              </w:rPr>
              <w:br/>
              <w:t xml:space="preserve">Nagelberger Straße 88</w:t>
            </w:r>
            <w:r>
              <w:rPr>
                <w:rFonts w:ascii="Arial" w:hAnsi="Arial" w:eastAsia="Arial" w:cs="Arial"/>
                <w:color w:val="000000"/>
                <w:position w:val="0"/>
                <w:sz w:val="20"/>
                <w:szCs w:val="20"/>
                <w:shd w:val="clear" w:color="auto" w:fill="FFFFFF"/>
              </w:rPr>
              <w:br/>
              <w:t xml:space="preserve">3950 Gmünd</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Dr. Gertrude Musterfrau</w:t>
            </w:r>
            <w:r>
              <w:rPr>
                <w:rFonts w:ascii="Arial" w:hAnsi="Arial" w:eastAsia="Arial" w:cs="Arial"/>
                <w:color w:val="000000"/>
                <w:position w:val="0"/>
                <w:sz w:val="20"/>
                <w:szCs w:val="20"/>
                <w:shd w:val="clear" w:color="auto" w:fill="FFFFFF"/>
              </w:rPr>
              <w:br/>
              <w:t xml:space="preserve">Fuhrmannsgasse 19</w:t>
            </w:r>
            <w:r>
              <w:rPr>
                <w:rFonts w:ascii="Arial" w:hAnsi="Arial" w:eastAsia="Arial" w:cs="Arial"/>
                <w:color w:val="000000"/>
                <w:position w:val="0"/>
                <w:sz w:val="20"/>
                <w:szCs w:val="20"/>
                <w:shd w:val="clear" w:color="auto" w:fill="FFFFFF"/>
              </w:rPr>
              <w:br/>
              <w:t xml:space="preserve">1080 Wien</w:t>
            </w:r>
            <w:r>
              <w:rPr>
                <w:rFonts w:ascii="Arial" w:hAnsi="Arial" w:eastAsia="Arial" w:cs="Arial"/>
                <w:color w:val="000000"/>
                <w:position w:val="0"/>
                <w:sz w:val="20"/>
                <w:szCs w:val="20"/>
                <w:shd w:val="clear" w:color="auto" w:fill="FFFFFF"/>
              </w:rPr>
              <w:br/>
              <w:t xml:space="preserve">R 95553356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Berufungsvorentscheidung des Bürgermeisters der Stadt Gmünd vom
… [Datum] zu BM008-01-2016, zugestellt am … [Datum]</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Vorlageantrag gem § 64a
Abs 2 AVG</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1 Halbschrift</w:t>
      </w:r>
      <w:r>
        <w:rPr>
          <w:rFonts w:ascii="Arial" w:hAnsi="Arial" w:eastAsia="Arial" w:cs="Arial"/>
          <w:color w:val="000000"/>
          <w:sz w:val="20"/>
          <w:szCs w:val="20"/>
        </w:rPr>
        <w:br/>
        <w:t xml:space="preserve">Vollmacht erteilt entsprechend</w:t>
      </w:r>
      <w:r>
        <w:rPr>
          <w:rFonts w:ascii="Arial" w:hAnsi="Arial" w:eastAsia="Arial" w:cs="Arial"/>
          <w:color w:val="000000"/>
          <w:sz w:val="20"/>
          <w:szCs w:val="20"/>
        </w:rPr>
        <w:br/>
        <w:t xml:space="preserve">§ 10 Abs 1 AVG iVm</w:t>
      </w:r>
      <w:r>
        <w:rPr>
          <w:rFonts w:ascii="Arial" w:hAnsi="Arial" w:eastAsia="Arial" w:cs="Arial"/>
          <w:color w:val="000000"/>
          <w:sz w:val="20"/>
          <w:szCs w:val="20"/>
        </w:rPr>
        <w:br/>
        <w:t xml:space="preserve">§ 8 Abs 1 RAO</w:t>
      </w:r>
    </w:p>
    <w:p>
      <w:pPr>
        <w:pageBreakBefore w:val="on"/>
      </w:pPr>
      <w:r/>
    </w:p>
    <w:p>
      <w:pPr>
        <w:widowControl w:val="on"/>
        <w:pBdr/>
        <w:spacing w:before="140" w:after="240" w:line="288" w:lineRule="auto"/>
        <w:ind w:left="0" w:right="0"/>
        <w:jc w:val="left"/>
      </w:pPr>
      <w:r>
        <w:rPr>
          <w:rFonts w:ascii="Arial" w:hAnsi="Arial" w:eastAsia="Arial" w:cs="Arial"/>
          <w:color w:val="000000"/>
          <w:sz w:val="20"/>
          <w:szCs w:val="20"/>
        </w:rPr>
        <w:t xml:space="preserve">Am … [Datum] habe ich fristgerecht Berufung gegen den Bescheid
des Bürgermeisters vom … [Datum], zu BM008-01-2016, zugestellt am …
[Datum], erhoben. Der Bürgermeister konnte die Berufung gem
§ 64a Abs 1 AVG binnen zwei Monaten nach Einlangen bei
der Behörde erster Instanz durch Berufungsvorentscheidung
erledigen. Der Bürgermeister hat die Berufung am … [Datum],
zugestellt am … [Datum], teilweise abgewiesen. Meinem
Berufungsantrag in der gegenständlichen Berufung wurde demnach
nicht gänzlich entsprochen. Jede Partei kann gem § 64a
Abs 2 AVG binnen zwei Wochen nach Zustellung der
Berufungsvorentscheidung bei der Behörde den Antrag stellen, dass
die Berufung der Berufungsbehörde zur Entscheidung vorgelegt wird.
Aus diesem Grunde stelle ich binnen offener Frist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die am … [Datum] erhobene Berufung gegen den Bescheid des
Bürgermeisters der Stadt Gmünd vom … [Datum], zugestellt am
16.12.2016, zu BM008-01-2016, dem Gemeinderat der Stadt Gmünd als
Berufungsbehörde zur Entscheidung vorzulegen.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Michaela Perchtl</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Der Vorlageantrag ist das ordentliche Rechtsmittel gegen
Berufungsvorentscheidungen. Alle Parteien des Verfahrens sind
legitimiert, einen Vorlageantrag zu stellen. Eine
Berufungsvorentscheidung, welche gänzlich die Anträge der Berufung
erfüllt, kann nicht weiter bekämpft werden. Gem § 13
Abs 1 AVG (fristgebundenes Rechtsmittel) muss der
Vorlageantrag schriftlich gestellt werden. Der Vorlageantrag
richtet sich nur darauf, dass die Beschwerde dem VwG vorgelegt wird
(vgl VwGH Ro 2020/05/0018).</w:t>
      </w:r>
    </w:p>
    <w:p>
      <w:pPr>
        <w:widowControl w:val="on"/>
        <w:pBdr/>
        <w:spacing w:before="140" w:after="240" w:line="288" w:lineRule="auto"/>
        <w:ind w:left="0" w:right="0"/>
        <w:jc w:val="left"/>
      </w:pPr>
      <w:r>
        <w:rPr>
          <w:rFonts w:ascii="Arial" w:hAnsi="Arial" w:eastAsia="Arial" w:cs="Arial"/>
          <w:color w:val="000000"/>
          <w:sz w:val="20"/>
          <w:szCs w:val="20"/>
        </w:rPr>
        <w:t xml:space="preserve">Das vom Gesetzgeber eingeräumte Ermessen betrifft nicht die
Frage, ob generell Beschwerdevorentscheidungen getroffen werden,
sondern nur, ob in einem konkreten Einzelfall eine solche
Entscheidung getroffen wird oder nicht. Es liegt damit nicht im
Ermessen der Behörde, Beschwerdevorentscheidungen generell zu
verweigern. Ein in diese Richtung zielender Beschluss leidet an
einem Ermessensfehler, der seine Aufhebung rechtfertigt
(LVwG-AV-681/001-2016).</w:t>
      </w:r>
    </w:p>
    <w:p>
      <w:pPr>
        <w:widowControl w:val="on"/>
        <w:pBdr/>
        <w:spacing w:before="140" w:after="240" w:line="288" w:lineRule="auto"/>
        <w:ind w:left="0" w:right="0"/>
        <w:jc w:val="left"/>
      </w:pPr>
      <w:r>
        <w:rPr>
          <w:rFonts w:ascii="Arial" w:hAnsi="Arial" w:eastAsia="Arial" w:cs="Arial"/>
          <w:color w:val="000000"/>
          <w:sz w:val="20"/>
          <w:szCs w:val="20"/>
        </w:rPr>
        <w:t xml:space="preserve">Gem § 64a Abs 3 AVG tritt die Berufungsvorentscheidung
mit dem Einlangen des Vorlageantrages bei der diese erlassenden
Behörde ex lege außer Kraft und der angefochtene Bescheid wieder in
Kraft, sodass ab dem Zeitpunkt des Außerkrafttretens die Berufung
wieder unerledigt ist, die Zuständigkeit auf die Berufungsbehörde
übergeht und das Verfahren in das Stadium vor Ergehen der
Berufungsvorentscheidung zurücktritt. Ferner ist mit dem
Vorlageantrag die Berufung der übergeordneten Behörde zur
Entscheidung vorzulegen. Darüber hinausgehende Anträge sind, in
Bezug auf die Berufung, so etwa nur über einen Teil der Berufung
oder nur über bestimmte Punkte der Berufungsanträge abzusprechen,
unzulässig. Auch inhaltliche Berufungsmodifikationen sind
unzulässig und zurückzuweisen (VwGH 27.02.2013, 2011/05/0101 [VwSlg
18.575 A/2013]). Die Wirkung des Außerkrafttretens entfaltet
allerdings nur ein zulässiger Vorlageantrag; ein unzulässiger
Vorlageantrag hat keine Rechtswirkungen.</w:t>
      </w:r>
    </w:p>
    <w:p>
      <w:pPr>
        <w:widowControl w:val="on"/>
        <w:pBdr/>
        <w:spacing w:before="140" w:after="240" w:line="288" w:lineRule="auto"/>
        <w:ind w:left="0" w:right="0"/>
        <w:jc w:val="left"/>
      </w:pPr>
      <w:r>
        <w:rPr>
          <w:rFonts w:ascii="Arial" w:hAnsi="Arial" w:eastAsia="Arial" w:cs="Arial"/>
          <w:color w:val="000000"/>
          <w:sz w:val="20"/>
          <w:szCs w:val="20"/>
        </w:rPr>
        <w:t xml:space="preserve">Mit der Berufungsvorentscheidung nach § 64a AVG kann die
Berufung als unzulässig oder verspätet zurückgewiesen oder der
Bescheid abgeändert oder aufgehoben werden. Es ist allerdings nicht
möglich, (im Gegensatz zur Beschwerdevorentscheidung nach § 14
VwGVG) die Beschwerde zur Gänze abzuweisen. Falls die belangte
Behörde fälschlicherweise entscheiden sollte, dass der
Vorlageantrag unzulässig ist, die Berufung zur Gänze abweist und
dadurch die Berufungsvorentscheidung zur Gänze den erstbehördlichen
Bescheid bestätigt, belastet sie ihren Bescheid mit
Rechtswidrigkeit infolge Unzuständigkeit (VwGH 16.06.2009,
2005/10/0222 [VwSlg 17.710 A/2009]).</w:t>
      </w:r>
    </w:p>
    <w:p>
      <w:pPr>
        <w:widowControl w:val="on"/>
        <w:pBdr/>
        <w:spacing w:before="140" w:after="240" w:line="288" w:lineRule="auto"/>
        <w:ind w:left="0" w:right="0"/>
        <w:jc w:val="left"/>
      </w:pPr>
      <w:r>
        <w:rPr>
          <w:rFonts w:ascii="Arial" w:hAnsi="Arial" w:eastAsia="Arial" w:cs="Arial"/>
          <w:color w:val="000000"/>
          <w:sz w:val="20"/>
          <w:szCs w:val="20"/>
        </w:rPr>
        <w:t xml:space="preserve">Der Vorlageantrag richtet sich stets nur darauf, die weitere
Vorlage der Berufung an die übergeordnete Behörde zu erwirken.</w:t>
      </w:r>
    </w:p>
    <w:p>
      <w:pPr>
        <w:widowControl w:val="on"/>
        <w:pBdr/>
        <w:spacing w:before="140" w:after="240" w:line="288" w:lineRule="auto"/>
        <w:ind w:left="0" w:right="0"/>
        <w:jc w:val="left"/>
      </w:pPr>
      <w:r>
        <w:rPr>
          <w:rFonts w:ascii="Arial" w:hAnsi="Arial" w:eastAsia="Arial" w:cs="Arial"/>
          <w:b/>
          <w:bCs/>
          <w:color w:val="000000"/>
          <w:sz w:val="20"/>
          <w:szCs w:val="20"/>
        </w:rPr>
        <w:t xml:space="preserve">Trennbarkeit der Ansprüche:</w:t>
      </w:r>
      <w:r>
        <w:rPr>
          <w:rFonts w:ascii="Arial" w:hAnsi="Arial" w:eastAsia="Arial" w:cs="Arial"/>
          <w:color w:val="000000"/>
          <w:sz w:val="20"/>
          <w:szCs w:val="20"/>
        </w:rPr>
        <w:t xml:space="preserve"> Ob es aufgrund der
Berufungsvorentscheidung, die sodann mit einem Vorlageantrag
bekämpft wird, zum Eintritt einer Teilrechtskraft des durch
Berufung angefochtenen Bescheides kommen kann, hängt davon ab, ob
eine Trennbarkeit von Ansprüchen vorliegt. So kann es dann, wenn
die mit einer Berufungsvorentscheidung vorgenommenen Ansprüche
voneinander trennbar sind und auch der Spruch des durch Berufung
angefochtenen Bescheides aus mehreren selbstständigen Teilen
besteht, zu einem lediglich partiellen Außerkrafttreten der
Berufungsvorentscheidung kommen (VwGH 27.02.2013, 2011/05/0101
[VwSlg 18.575 A/2013]).</w:t>
      </w:r>
    </w:p>
    <w:p>
      <w:pPr>
        <w:widowControl w:val="on"/>
        <w:pBdr/>
        <w:spacing w:before="140" w:after="240" w:line="288" w:lineRule="auto"/>
        <w:ind w:left="0" w:right="0"/>
        <w:jc w:val="left"/>
      </w:pPr>
      <w:r>
        <w:rPr>
          <w:rFonts w:ascii="Arial" w:hAnsi="Arial" w:eastAsia="Arial" w:cs="Arial"/>
          <w:color w:val="000000"/>
          <w:sz w:val="20"/>
          <w:szCs w:val="20"/>
        </w:rPr>
        <w:t xml:space="preserve">Unzuständigkeit iSd § 68 Abs 4 Z 1 AVG liegt auch
dann vor, wenn die Berufungsbehörde über eine unzulässige Berufung
in der Sache entscheidet. Dies gilt auch für eine
Berufungsvorentscheidung, zumal eine Berufungsvorentscheidung nach
§ 64a AVG als eine Entscheidung der Behörde in der Sache –
ebenso wie eine Sachentscheidung der Berufungsbehörde nach
§ 66 Abs 4 AVG – an die Stelle des mit Berufung
angefochtenen Bescheides tritt (VwGH 26.02.2014, 2013/04/0015).</w:t>
      </w:r>
    </w:p>
    <w:p>
      <w:pPr>
        <w:widowControl w:val="on"/>
        <w:pBdr/>
        <w:spacing w:before="140" w:after="240" w:line="288" w:lineRule="auto"/>
        <w:ind w:left="0" w:right="0"/>
        <w:jc w:val="left"/>
      </w:pPr>
      <w:r>
        <w:rPr>
          <w:rFonts w:ascii="Arial" w:hAnsi="Arial" w:eastAsia="Arial" w:cs="Arial"/>
          <w:color w:val="000000"/>
          <w:sz w:val="20"/>
          <w:szCs w:val="20"/>
        </w:rPr>
        <w:t xml:space="preserve">Im Falle eines unzulässigen Vorlageantrages tritt die erlassene
Berufungsvorentscheidung nicht außer Kraft, sodass noch immer eine
dem Rechtsbestand angehörende Entscheidung über die Berufung
vorliegt und daher die Kompetenz zur Entscheidung über die
eingebrachte Berufung nicht auf die Berufungsbehörde übergehen kann
(LVwG-AV-1405/001-2024).</w:t>
      </w:r>
    </w:p>
    <w:p>
      <w:pPr>
        <w:widowControl w:val="on"/>
        <w:pBdr/>
        <w:spacing w:before="140" w:after="240" w:line="288" w:lineRule="auto"/>
        <w:ind w:left="0" w:right="0"/>
        <w:jc w:val="left"/>
      </w:pPr>
      <w:r>
        <w:rPr>
          <w:rFonts w:ascii="Arial" w:hAnsi="Arial" w:eastAsia="Arial" w:cs="Arial"/>
          <w:color w:val="000000"/>
          <w:sz w:val="20"/>
          <w:szCs w:val="20"/>
        </w:rPr>
        <w:t xml:space="preserve">Da § 14 VwGVG (ebenso wie § 64a AVG) selbst keine
Kriterien für die Ausübung des Ermessens vorgibt, hat sich die
Behörde am – für das Verfahren allgemein geltenden – Grundsatz der
Verfahrensökonomie (§ 39 Abs 2 AVG) zu orientieren, dh
sie wird eine Berufungsvorentscheidung dort in Erwägung ziehen, wo
sie im Interesse der Zweckmäßigkeit, Raschheit, Einfachheit und
Kostenersparnis gelegen ist. Das Beheben von Fehlern, die der
Behörde erster Instanz unterlaufen sind, wird jener Behörde am
leichtesten fallen, die den Bescheid erlassen hat. Es entspricht
daher den Grundsätzen der Verwaltungsökonomie, wenn die Behörde,
die sich bereits mit der Sache befasst hat, allfällige Fehler
selbst korrigiert (LVwG NÖ 23.12.2016, LVwG-AV-681/001-2016).</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589250">
    <w:multiLevelType w:val="hybridMultilevel"/>
    <w:lvl w:ilvl="0" w:tplc="49282419">
      <w:start w:val="1"/>
      <w:numFmt w:val="decimal"/>
      <w:lvlText w:val="%1."/>
      <w:lvlJc w:val="left"/>
      <w:pPr>
        <w:ind w:left="720" w:hanging="360"/>
      </w:pPr>
    </w:lvl>
    <w:lvl w:ilvl="1" w:tplc="49282419" w:tentative="1">
      <w:start w:val="1"/>
      <w:numFmt w:val="lowerLetter"/>
      <w:lvlText w:val="%2."/>
      <w:lvlJc w:val="left"/>
      <w:pPr>
        <w:ind w:left="1440" w:hanging="360"/>
      </w:pPr>
    </w:lvl>
    <w:lvl w:ilvl="2" w:tplc="49282419" w:tentative="1">
      <w:start w:val="1"/>
      <w:numFmt w:val="lowerRoman"/>
      <w:lvlText w:val="%3."/>
      <w:lvlJc w:val="right"/>
      <w:pPr>
        <w:ind w:left="2160" w:hanging="180"/>
      </w:pPr>
    </w:lvl>
    <w:lvl w:ilvl="3" w:tplc="49282419" w:tentative="1">
      <w:start w:val="1"/>
      <w:numFmt w:val="decimal"/>
      <w:lvlText w:val="%4."/>
      <w:lvlJc w:val="left"/>
      <w:pPr>
        <w:ind w:left="2880" w:hanging="360"/>
      </w:pPr>
    </w:lvl>
    <w:lvl w:ilvl="4" w:tplc="49282419" w:tentative="1">
      <w:start w:val="1"/>
      <w:numFmt w:val="lowerLetter"/>
      <w:lvlText w:val="%5."/>
      <w:lvlJc w:val="left"/>
      <w:pPr>
        <w:ind w:left="3600" w:hanging="360"/>
      </w:pPr>
    </w:lvl>
    <w:lvl w:ilvl="5" w:tplc="49282419" w:tentative="1">
      <w:start w:val="1"/>
      <w:numFmt w:val="lowerRoman"/>
      <w:lvlText w:val="%6."/>
      <w:lvlJc w:val="right"/>
      <w:pPr>
        <w:ind w:left="4320" w:hanging="180"/>
      </w:pPr>
    </w:lvl>
    <w:lvl w:ilvl="6" w:tplc="49282419" w:tentative="1">
      <w:start w:val="1"/>
      <w:numFmt w:val="decimal"/>
      <w:lvlText w:val="%7."/>
      <w:lvlJc w:val="left"/>
      <w:pPr>
        <w:ind w:left="5040" w:hanging="360"/>
      </w:pPr>
    </w:lvl>
    <w:lvl w:ilvl="7" w:tplc="49282419" w:tentative="1">
      <w:start w:val="1"/>
      <w:numFmt w:val="lowerLetter"/>
      <w:lvlText w:val="%8."/>
      <w:lvlJc w:val="left"/>
      <w:pPr>
        <w:ind w:left="5760" w:hanging="360"/>
      </w:pPr>
    </w:lvl>
    <w:lvl w:ilvl="8" w:tplc="49282419" w:tentative="1">
      <w:start w:val="1"/>
      <w:numFmt w:val="lowerRoman"/>
      <w:lvlText w:val="%9."/>
      <w:lvlJc w:val="right"/>
      <w:pPr>
        <w:ind w:left="6480" w:hanging="180"/>
      </w:pPr>
    </w:lvl>
  </w:abstractNum>
  <w:abstractNum w:abstractNumId="41589249">
    <w:multiLevelType w:val="hybridMultilevel"/>
    <w:lvl w:ilvl="0" w:tplc="266482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589249">
    <w:abstractNumId w:val="41589249"/>
  </w:num>
  <w:num w:numId="41589250">
    <w:abstractNumId w:val="415892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52965869" Type="http://schemas.openxmlformats.org/officeDocument/2006/relationships/numbering" Target="numbering.xml"/><Relationship Id="rId35086980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