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2915342" w:name="document"/>
    <w:bookmarkEnd w:id="12915342"/>
    <w:p/>
    <w:p>
      <w:pPr>
        <w:widowControl w:val="on"/>
        <w:pBdr/>
        <w:spacing w:before="0" w:after="280" w:line="240" w:lineRule="auto"/>
        <w:ind w:left="0" w:right="0"/>
        <w:jc w:val="left"/>
      </w:pPr>
      <w:r>
        <w:rPr>
          <w:rFonts w:ascii="Arial" w:hAnsi="Arial" w:eastAsia="Arial" w:cs="Arial"/>
          <w:color w:val="363A40"/>
          <w:sz w:val="24"/>
          <w:szCs w:val="24"/>
        </w:rPr>
        <w:t xml:space="preserve">Dokument-ID: 822045 | Albert Scherzer -
Alexander Kdolsky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Befangenheitsanzeige</w:t>
      </w:r>
    </w:p>
    <w:p>
      <w:pPr>
        <w:widowControl w:val="on"/>
        <w:pBdr/>
        <w:spacing w:before="140" w:after="240" w:line="288" w:lineRule="auto"/>
        <w:ind w:left="0" w:right="0"/>
        <w:jc w:val="left"/>
      </w:pPr>
      <w:r>
        <w:rPr>
          <w:rFonts w:ascii="Arial" w:hAnsi="Arial" w:eastAsia="Arial" w:cs="Arial"/>
          <w:color w:val="000000"/>
          <w:sz w:val="20"/>
          <w:szCs w:val="20"/>
        </w:rPr>
        <w:t xml:space="preserve">(nach §§ 6 VwGVG, 7 AVG)</w:t>
      </w:r>
    </w:p>
    <w:p>
      <w:pPr>
        <w:widowControl w:val="on"/>
        <w:pBdr/>
        <w:spacing w:before="140" w:after="240" w:line="288" w:lineRule="auto"/>
        <w:ind w:left="0" w:right="0"/>
        <w:jc w:val="left"/>
      </w:pPr>
      <w:r>
        <w:rPr>
          <w:rFonts w:ascii="Arial" w:hAnsi="Arial" w:eastAsia="Arial" w:cs="Arial"/>
          <w:b/>
          <w:bCs/>
          <w:color w:val="000000"/>
          <w:sz w:val="20"/>
          <w:szCs w:val="20"/>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Landesverwaltungsgericht Niederösterreich</w:t>
      </w:r>
      <w:r>
        <w:rPr>
          <w:rFonts w:ascii="Arial" w:hAnsi="Arial" w:eastAsia="Arial" w:cs="Arial"/>
          <w:color w:val="000000"/>
          <w:sz w:val="20"/>
          <w:szCs w:val="20"/>
        </w:rPr>
        <w:br/>
        <w:t xml:space="preserve">Rennbahnstraße 29</w:t>
      </w:r>
      <w:r>
        <w:rPr>
          <w:rFonts w:ascii="Arial" w:hAnsi="Arial" w:eastAsia="Arial" w:cs="Arial"/>
          <w:color w:val="000000"/>
          <w:sz w:val="20"/>
          <w:szCs w:val="20"/>
        </w:rPr>
        <w:br/>
        <w:t xml:space="preserve">3100 St. Pölten</w:t>
      </w:r>
    </w:p>
    <w:p>
      <w:pPr>
        <w:widowControl w:val="on"/>
        <w:pBdr/>
        <w:spacing w:before="140" w:after="240" w:line="288" w:lineRule="auto"/>
        <w:ind w:left="0" w:right="0"/>
        <w:jc w:val="left"/>
      </w:pPr>
      <w:r>
        <w:rPr>
          <w:rFonts w:ascii="Arial" w:hAnsi="Arial" w:eastAsia="Arial" w:cs="Arial"/>
          <w:color w:val="000000"/>
          <w:sz w:val="20"/>
          <w:szCs w:val="20"/>
        </w:rPr>
        <w:t xml:space="preserve">… [An die zuständige Behörde/Gericht</w:t>
      </w:r>
      <w:r>
        <w:rPr>
          <w:rFonts w:ascii="Arial" w:hAnsi="Arial" w:eastAsia="Arial" w:cs="Arial"/>
          <w:color w:val="000000"/>
          <w:sz w:val="20"/>
          <w:szCs w:val="20"/>
        </w:rPr>
        <w:br/>
        <w:t xml:space="preserve">Adresse]</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Vorbringender: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[Name, Geburtsdatum,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[Name des Vertreters/Rechtsanwalts, Adresse, R-Code]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Zuständige Behörde: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[Bezeichnung der zuständigen Behörde,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[Verfahrensgegenstand, Geschäftszahl laufendes Verfahren]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Befangenheitsanzeige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w:t>
      </w:r>
      <w:r>
        <w:rPr>
          <w:rFonts w:ascii="Arial" w:hAnsi="Arial" w:eastAsia="Arial" w:cs="Arial"/>
          <w:b/>
          <w:bCs/>
          <w:color w:val="363A40"/>
          <w:sz w:val="28"/>
          <w:szCs w:val="28"/>
        </w:rPr>
        <w:t xml:space="preserve">Urkundenvorlage)</w:t>
      </w:r>
      <w:r>
        <w:rPr>
          <w:rFonts w:ascii="Arial" w:hAnsi="Arial" w:eastAsia="Arial" w:cs="Arial"/>
          <w:b/>
          <w:bCs/>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b/>
          <w:bCs/>
          <w:color w:val="777777"/>
          <w:sz w:val="18"/>
          <w:szCs w:val="18"/>
        </w:rPr>
        <w:t xml:space="preserve">Falls
Beilagen angefügt sind.</w:t>
      </w:r>
      <w:r>
        <w:rPr>
          <w:rFonts w:ascii="Arial" w:hAnsi="Arial" w:eastAsia="Arial" w:cs="Arial"/>
          <w:b/>
          <w:bCs/>
          <w:color w:val="777777"/>
          <w:sz w:val="18"/>
          <w:szCs w:val="18"/>
        </w:rPr>
        <w:t xml:space="preserve">) </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 [Anzahl] Beilagen</w:t>
      </w:r>
      <w:r>
        <w:rPr>
          <w:rFonts w:ascii="Arial" w:hAnsi="Arial" w:eastAsia="Arial" w:cs="Arial"/>
          <w:color w:val="000000"/>
          <w:sz w:val="20"/>
          <w:szCs w:val="20"/>
        </w:rPr>
        <w:br/>
        <w:t xml:space="preserve">Vollmacht erteilt entsprechend</w:t>
      </w:r>
      <w:r>
        <w:rPr>
          <w:rFonts w:ascii="Arial" w:hAnsi="Arial" w:eastAsia="Arial" w:cs="Arial"/>
          <w:color w:val="000000"/>
          <w:sz w:val="20"/>
          <w:szCs w:val="20"/>
        </w:rPr>
        <w:br/>
        <w:t xml:space="preserve">§ 10 Abs 1 AVG iVm</w:t>
      </w:r>
      <w:r>
        <w:rPr>
          <w:rFonts w:ascii="Arial" w:hAnsi="Arial" w:eastAsia="Arial" w:cs="Arial"/>
          <w:color w:val="000000"/>
          <w:sz w:val="20"/>
          <w:szCs w:val="20"/>
        </w:rPr>
        <w:br/>
        <w:t xml:space="preserve">§ 8 Abs 1 RAO</w:t>
      </w:r>
    </w:p>
    <w:p>
      <w:pPr>
        <w:pageBreakBefore w:val="on"/>
      </w:pPr>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Sachverhalt</w:t>
      </w:r>
    </w:p>
    <w:p>
      <w:pPr>
        <w:widowControl w:val="on"/>
        <w:pBdr/>
        <w:spacing w:before="140" w:after="240" w:line="288" w:lineRule="auto"/>
        <w:ind w:left="0" w:right="0"/>
        <w:jc w:val="left"/>
      </w:pPr>
      <w:r>
        <w:rPr>
          <w:rFonts w:ascii="Arial" w:hAnsi="Arial" w:eastAsia="Arial" w:cs="Arial"/>
          <w:color w:val="000000"/>
          <w:sz w:val="20"/>
          <w:szCs w:val="20"/>
        </w:rPr>
        <w:t xml:space="preserve">Im Betriebsanlagen-Genehmigungsverfahren zu … [Geschäftszahl]
hat die … [Behörde] am … [Datum] mir gegenüber einen ablehnenden
Bescheid erlassen und am … [Datum] zugestellt. Infolgedessen habe
ich das Rechtsmittel der Beschwerde form- und fristgerecht am …
[Datum] beim Landesverwaltungsgericht Niederösterreich erhoben.
Herr Mag. Heinz Muster ist im gegenständlichen Beschwerdeverfahren
das zur Entscheidung berufene Mitglied des Verwaltungsgerichtes. Es
bestehen hinsichtlich dieses Mitgliedes ernstliche Bedenken in
Hinblick auf die Befangenheit nach § 7 Abs 1 Z 3
AVG. In einem von … [Datum] stammenden Artikel des Blattes … [Name
der Zeitung] erklärt Herr Mag. Muster, es sei „Zeitverschwendung,
das Gericht mit diesem unnötigen Verfahren weiter zu belasten“ …
[Beilage 1]. Zudem erklärte mir dieser im Rahmen einer Sprechstunde
unter Anwesenheit der Zeugen Frau Birgit Nagelmann und Herrn
Günther Preisinger, die das auch mit ihrer Aussage belegen, …
[Beilagen 2, 3], „er kenne diese Verfahren, da machen Rechtsmittel
gar keinen Sinn, diese sind immer abzulehnen“.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Begründung</w:t>
      </w:r>
    </w:p>
    <w:p>
      <w:pPr>
        <w:widowControl w:val="on"/>
        <w:pBdr/>
        <w:spacing w:before="140" w:after="240" w:line="288" w:lineRule="auto"/>
        <w:ind w:left="0" w:right="0"/>
        <w:jc w:val="left"/>
      </w:pPr>
      <w:r>
        <w:rPr>
          <w:rFonts w:ascii="Arial" w:hAnsi="Arial" w:eastAsia="Arial" w:cs="Arial"/>
          <w:color w:val="000000"/>
          <w:sz w:val="20"/>
          <w:szCs w:val="20"/>
        </w:rPr>
        <w:t xml:space="preserve">Mitglieder des Verwaltungsgerichtes, fachkundige Laienrichter
und Rechtspfleger haben sich gem § 6 VwGVG unter Anzeige an
den Präsidenten der Ausübung ihres Amtes wegen Befangenheit (iSd
§ 7 AVG) zu enthalten. Im Falle des Herrn Mag. Muster ist
Befangenheit nach § 7 Abs 1 Z 3 AVG vorliegend. Es
handelt sich um einen relativen Befangenheitsgrund, dessen
Vorliegen es erfordert, an der Unvoreingenommenheit des
Organwalters Zweifel zu begründen. Die oben angeführten Aussagen
belegen klar, dass gar nicht die Absicht besteht, eine objektive
Entscheidung zu treffen.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Anzeige</w:t>
      </w:r>
    </w:p>
    <w:p>
      <w:pPr>
        <w:widowControl w:val="on"/>
        <w:pBdr/>
        <w:spacing w:before="140" w:after="240" w:line="288" w:lineRule="auto"/>
        <w:ind w:left="0" w:right="0"/>
        <w:jc w:val="left"/>
      </w:pPr>
      <w:r>
        <w:rPr>
          <w:rFonts w:ascii="Arial" w:hAnsi="Arial" w:eastAsia="Arial" w:cs="Arial"/>
          <w:color w:val="000000"/>
          <w:sz w:val="20"/>
          <w:szCs w:val="20"/>
        </w:rPr>
        <w:t xml:space="preserve">Aus den soeben genannten Gründen erstatte ich hiermit eine
Befangenheitsanzeige im Hinblick auf das Mitglied des
Verwaltungsgerichts, Herrn Mag. Heinz Muster, im Verfahren zu …
[Geschäftszahl] und rege gleichzeitig den Präsidenten des
Landesverwaltungsgerichts Niederösterreich an, die Bestellung einer
unbefangenen Vertretungsperson in die Wege zu leiten. Sollte dem
nicht entsprochen werden, behalte ich es mir ausdrücklich vor,
einen wesentlichen Verfahrensmangel im weiteren Rechtszug geltend
zu machen.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Vorbringenden]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VwGH hat zu § 6 VwGVG bereits ausgesprochen, dass sich
nach dem klaren Wortlaut dieser gesetzlichen Bestimmung ua
Mitglieder des Verwaltungsgerichtes unter Anzeige an den
Präsidenten der Ausübung ihres Amtes „wegen Befangenheit“ (nicht
aber bereits bei bloßer Behauptung des Vorliegens einer
Befangenheit durch eine Partei) zu enthalten haben, und weiters
(unter Hinweis auf die Rechtsprechung zu § 7 AVG) ausgeführt,
dass eine allfällige Befangenheit von Amts wegen wahrzunehmen ist
und diesbezüglich ein Ablehnungsrecht der Parteien fehlt (vgl
demgegenüber das in § 31 Abs 2 VwGG ausdrücklich
normierte Ablehnungsrecht der Parteien) (VwGH 18.02.2015, Ra
2014/03/0057; VwGH 23.01.2024, Ra 2024/02/0009).</w:t>
      </w:r>
    </w:p>
    <w:p>
      <w:pPr>
        <w:widowControl w:val="on"/>
        <w:pBdr/>
        <w:spacing w:before="140" w:after="240" w:line="288" w:lineRule="auto"/>
        <w:ind w:left="0" w:right="0"/>
        <w:jc w:val="left"/>
      </w:pPr>
      <w:r>
        <w:rPr>
          <w:rFonts w:ascii="Arial" w:hAnsi="Arial" w:eastAsia="Arial" w:cs="Arial"/>
          <w:color w:val="000000"/>
          <w:sz w:val="20"/>
          <w:szCs w:val="20"/>
        </w:rPr>
        <w:t xml:space="preserve">Den Parteien verbleibt daher nur die Möglichkeit einer
Anregung.</w:t>
      </w:r>
    </w:p>
    <w:p>
      <w:pPr>
        <w:widowControl w:val="on"/>
        <w:pBdr/>
        <w:spacing w:before="140" w:after="240" w:line="288" w:lineRule="auto"/>
        <w:ind w:left="0" w:right="0"/>
        <w:jc w:val="left"/>
      </w:pPr>
      <w:r>
        <w:rPr>
          <w:rFonts w:ascii="Arial" w:hAnsi="Arial" w:eastAsia="Arial" w:cs="Arial"/>
          <w:color w:val="000000"/>
          <w:sz w:val="20"/>
          <w:szCs w:val="20"/>
        </w:rPr>
        <w:t xml:space="preserve">Es kann stets nur ein Organwalter, nicht jedoch die Behörde als
solche befangen sein. Auch aus der Befangenheit etwa eines
Behördenleiters ergibt sich noch nicht zwingend die Befangenheit
sämtlicher Organwalter dieser Behörde. Nichts anderes gilt auch für
die Mitglieder eines Senates einer Behörde (VwGH 28.10.2009,
2007/15/0071).</w:t>
      </w:r>
    </w:p>
    <w:p>
      <w:pPr>
        <w:widowControl w:val="on"/>
        <w:pBdr/>
        <w:spacing w:before="140" w:after="240" w:line="288" w:lineRule="auto"/>
        <w:ind w:left="0" w:right="0"/>
        <w:jc w:val="left"/>
      </w:pPr>
      <w:r>
        <w:rPr>
          <w:rFonts w:ascii="Arial" w:hAnsi="Arial" w:eastAsia="Arial" w:cs="Arial"/>
          <w:color w:val="000000"/>
          <w:sz w:val="20"/>
          <w:szCs w:val="20"/>
        </w:rPr>
        <w:t xml:space="preserve">Unterschieden wird zwischen absoluten (§ 7 Abs 1
Z 1, 2 und 4 AVG) und relativen Befangenheitsgründen (Z 3 leg
cit). Letztere führen im Gegensatz zu den Erstgenannten nicht
automatisch zum Vorliegen der Befangenheit.</w:t>
      </w:r>
    </w:p>
    <w:p>
      <w:pPr>
        <w:widowControl w:val="on"/>
        <w:pBdr/>
        <w:spacing w:before="140" w:after="240" w:line="288" w:lineRule="auto"/>
        <w:ind w:left="0" w:right="0"/>
        <w:jc w:val="left"/>
      </w:pPr>
      <w:r>
        <w:rPr>
          <w:rFonts w:ascii="Arial" w:hAnsi="Arial" w:eastAsia="Arial" w:cs="Arial"/>
          <w:color w:val="000000"/>
          <w:sz w:val="20"/>
          <w:szCs w:val="20"/>
        </w:rPr>
        <w:t xml:space="preserve">Die Befangenheit eines Verwaltungsorganes (wie eines
Amtssachverständigen) kann (nur) dann mit Erfolg eingewendet
werden, wenn sich sachliche Bedenken gegen die Erledigung dieses
Verwaltungsorgans ergeben oder besondere Umstände hervorkommen, die
geeignet sind, die volle Unbefangenheit desselben in Zweifel zu
ziehen, etwa wenn aus konkreten Umständen der Mangel einer
objektiven Einstellung gefolgert werden kann. Der Umstand, dass der
Amtssachverständige in einem anderen Verfahren als Sachbearbeiter
aufgetreten ist, bildet hingegen noch keinen Befangenheitsgrund
(VwGH 13.12.2016, Ro 2014/05/0021).</w:t>
      </w:r>
    </w:p>
    <w:p>
      <w:pPr>
        <w:widowControl w:val="on"/>
        <w:pBdr/>
        <w:spacing w:before="140" w:after="240" w:line="288" w:lineRule="auto"/>
        <w:ind w:left="0" w:right="0"/>
        <w:jc w:val="left"/>
      </w:pPr>
      <w:r>
        <w:rPr>
          <w:rFonts w:ascii="Arial" w:hAnsi="Arial" w:eastAsia="Arial" w:cs="Arial"/>
          <w:color w:val="000000"/>
          <w:sz w:val="20"/>
          <w:szCs w:val="20"/>
        </w:rPr>
        <w:t xml:space="preserve">Zwar kann die Teilnahme eines befangenen Amtssachverständigen
einen wesentlichen Verfahrensmangel und die Rechtswidrigkeit der
Entscheidung des VwG bedeuten. Für die Beurteilung, ob solche
Bedenken im Grunde der § 53 iVm § 7 AVG und § 17
VwGVG (wonach sich Amtssachverständige im Fall jeder Befangenheit
der Ausübung ihres Amtes enthalten müssen), zu Recht bestehen,
kommt es vor dem Hintergrund des Art 6 Abs 1 EMRK darauf
an, ob diese objektiv gerechtfertigt sind, wobei dafür vom EGMR
drei Faktoren für maßgeblich erachtet wurden:</w:t>
      </w:r>
    </w:p>
    <w:p>
      <w:pPr>
        <w:numPr>
          <w:ilvl w:val="0"/>
          <w:numId w:val="4946743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Natur der dem Sachverständigen übertragenen Aufgabe,</w:t>
      </w:r>
    </w:p>
    <w:p>
      <w:pPr>
        <w:numPr>
          <w:ilvl w:val="0"/>
          <w:numId w:val="4946743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Stellung des Sachverständigen in der Hierarchie der Partei
des Verfahrens, und</w:t>
      </w:r>
    </w:p>
    <w:p>
      <w:pPr>
        <w:numPr>
          <w:ilvl w:val="0"/>
          <w:numId w:val="4946743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seine Rolle im Verfahren, insbesondere im Hinblick auf das
seinem Gutachten beigemessene Gewicht (VwGH 20.06.2016, Ra
2016/09/0046; VwGH 25.04.2018, Ra 2018/09/0027).</w:t>
      </w:r>
    </w:p>
    <w:p>
      <w:pPr>
        <w:widowControl w:val="on"/>
        <w:pBdr/>
        <w:spacing w:before="140" w:after="240" w:line="288" w:lineRule="auto"/>
        <w:ind w:left="0" w:right="0"/>
        <w:jc w:val="left"/>
      </w:pPr>
      <w:r>
        <w:rPr>
          <w:rFonts w:ascii="Arial" w:hAnsi="Arial" w:eastAsia="Arial" w:cs="Arial"/>
          <w:color w:val="000000"/>
          <w:sz w:val="20"/>
          <w:szCs w:val="20"/>
        </w:rPr>
        <w:t xml:space="preserve">Zum Vorliegen des Befangenheitsgrundes nach § 7 Abs 1
Z 3 AVG genügen Umstände, die die volle Unbefangenheit
zweifelhaft erscheinen lassen können und die eine gewisse
Wahrscheinlichkeit der Befangenheit begründen können. Es genügt
somit, dass eine Befangenheit mit Grund befürchtet werden muss –
auch wenn der Entscheidungsträger tatsächlich unbefangen sein
sollte – oder dass bei objektiver Betrachtungsweise auch nur der
Anschein einer Voreingenommenheit entstehen könnte. Für die
Beurteilung, ob eine Befangenheit in diesem Sinne vorliegt, ist
maßgebend, ob ein am Verfahren Beteiligter bei vernünftiger
Würdigung aller konkreten Umstände Anlass hat, an der
Unvoreingenommenheit und objektiven Einstellung des Organwalters zu
zweifeln. Im Anwendungsbereich des Art 6 EMRK ist die
Befangenheit eines Mitglieds eines unabhängigen Tribunals dann
anzunehmen, wenn diesem auch nur der äußere Anschein der
Unparteilichkeit mangelt (VwGH 18.02.2015, Ra 2014/03/0057; VwGH
17.05.2022, Ra 2021/19/0064).</w:t>
      </w:r>
    </w:p>
    <w:p>
      <w:pPr>
        <w:widowControl w:val="on"/>
        <w:pBdr/>
        <w:spacing w:before="140" w:after="240" w:line="288" w:lineRule="auto"/>
        <w:ind w:left="0" w:right="0"/>
        <w:jc w:val="left"/>
      </w:pPr>
      <w:r>
        <w:rPr>
          <w:rFonts w:ascii="Arial" w:hAnsi="Arial" w:eastAsia="Arial" w:cs="Arial"/>
          <w:color w:val="000000"/>
          <w:sz w:val="20"/>
          <w:szCs w:val="20"/>
        </w:rPr>
        <w:t xml:space="preserve">Die Erstattung – wenn auch allenfalls unbegründeter – Straf-
oder Disziplinaranzeigen gegen einen Parteienvertreter begründet
als solche kein Indiz für Befangenheit, ebensowenig wie dies
Rechtsverletzungen allein begründen (VwGH 03.04.2023, Ra
2021/12/0032 mwN).</w:t>
      </w:r>
    </w:p>
    <w:p>
      <w:pPr>
        <w:widowControl w:val="on"/>
        <w:pBdr/>
        <w:spacing w:before="140" w:after="240" w:line="288" w:lineRule="auto"/>
        <w:ind w:left="0" w:right="0"/>
        <w:jc w:val="left"/>
      </w:pPr>
      <w:r>
        <w:rPr>
          <w:rFonts w:ascii="Arial" w:hAnsi="Arial" w:eastAsia="Arial" w:cs="Arial"/>
          <w:color w:val="000000"/>
          <w:sz w:val="20"/>
          <w:szCs w:val="20"/>
        </w:rPr>
        <w:t xml:space="preserve">Auch wenn dem Richter des VwG Verfahrensfehler vorgehalten
werden, bildet dies – ohne Hinzutreten weiterer begründeter
Umstände – keinen Anlass, die Befangenheit des Richters anzunehmen
(VwGH 31.05.2017, Ra 2017/22/0044; VwGH 19.03.2024, Ra
2023/09/0186).</w:t>
      </w:r>
    </w:p>
    <w:p>
      <w:pPr>
        <w:widowControl w:val="on"/>
        <w:pBdr/>
        <w:spacing w:before="140" w:after="240" w:line="288" w:lineRule="auto"/>
        <w:ind w:left="0" w:right="0"/>
        <w:jc w:val="left"/>
      </w:pPr>
      <w:r>
        <w:rPr>
          <w:rFonts w:ascii="Arial" w:hAnsi="Arial" w:eastAsia="Arial" w:cs="Arial"/>
          <w:color w:val="000000"/>
          <w:sz w:val="20"/>
          <w:szCs w:val="20"/>
        </w:rPr>
        <w:t xml:space="preserve">Mit den ins Treffen geführten Überlegungen zum Vorliegen einer
Befangenheit nach § 7 AVG übersieht der Revisionswerber, dass
allfällige Verfahrensmängel infolge Mitwirkung befangener
Organwalter im verwaltungsbehördlichen Verfahren durch ein vor dem
VwG geführtes Verfahren saniert werden (VwGH 27.06.2017, Ra
2016/12/0001; VwGH 22.05.2023; Ra 2023/10/0037).</w:t>
      </w:r>
    </w:p>
    <w:p>
      <w:pPr>
        <w:widowControl w:val="on"/>
        <w:pBdr/>
        <w:spacing w:before="140" w:after="240" w:line="288" w:lineRule="auto"/>
        <w:ind w:left="0" w:right="0"/>
        <w:jc w:val="left"/>
      </w:pPr>
      <w:r>
        <w:rPr>
          <w:rFonts w:ascii="Arial" w:hAnsi="Arial" w:eastAsia="Arial" w:cs="Arial"/>
          <w:color w:val="000000"/>
          <w:sz w:val="20"/>
          <w:szCs w:val="20"/>
        </w:rPr>
        <w:t xml:space="preserve">Das Wesen der Befangenheit besteht grundsätzlich in der Hemmung
einer unparteiischen Entscheidung durch unsachliche psychologische
Motive (VwGH 07.12.2023, Ro 2021/12/0010).</w:t>
      </w:r>
    </w:p>
    <w:p>
      <w:pPr>
        <w:widowControl w:val="on"/>
        <w:pBdr/>
        <w:spacing w:before="140" w:after="240" w:line="288" w:lineRule="auto"/>
        <w:ind w:left="0" w:right="0"/>
        <w:jc w:val="left"/>
      </w:pPr>
      <w:r>
        <w:rPr>
          <w:rFonts w:ascii="Arial" w:hAnsi="Arial" w:eastAsia="Arial" w:cs="Arial"/>
          <w:color w:val="000000"/>
          <w:sz w:val="20"/>
          <w:szCs w:val="20"/>
        </w:rPr>
        <w:t xml:space="preserve">Schon die Bezeichnung des Revisionswerbers als „drogensüchtiger
Dealer“ sowie die Äußerung, er habe eine Österreicherin geheiratet
und dann mit ihr ein Kind gezeugt, um „dann neuerlich einen
unbegründeten Asylantrag zu stellen, auf sein Familienleben zu
pochen und einen Aufenthalt im Bundesgebiet so zu erzwingen zu
versuchen“, stellen gravierende verbale Entgleisungen dar. Auch
wenn diese für sich genommen noch nicht geeignet sein mögen, eine
Befangenheit zu begründen, so ist das weitere Begründungselement,
wonach die Einstellungszusage eines „Landsmannes“ des
Revisionswerbers zu relativieren sei, weil sie wohl „eher eine
Gefälligkeit unter Landsleuten“ darstelle, geeignet, erhebliche
Zweifel an der Unvoreingenommenheit der Richterin zu begründen,
stellt dies doch eine diskriminierende Wertung eines vorgelegten
Beweismittels – allein in Abhängigkeit von der Herkunft des
Erklärenden – dar. In Summe können die von der Richterin
gebrauchten Formulierungen nicht als eine in sachlicher Weise
erfolgte Interessenabwägung iSd Art 8 EMRK qualifiziert
werden. Wenn auch nicht jede verbale Entgleisung eine Befangenheit
indiziert, ist doch die bei den angeführten Formulierungen
manifestierte Wortwahl geeignet, begründete Zweifel an der
Unvoreingenommenheit und damit der Unbefangenheit der Richterin des
VwG zu erwecken (VwGH 25.06.2019, Ra 2018/19/0676).</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467432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2928866">
    <w:multiLevelType w:val="hybridMultilevel"/>
    <w:lvl w:ilvl="0" w:tplc="97232863">
      <w:start w:val="1"/>
      <w:numFmt w:val="decimal"/>
      <w:lvlText w:val="%1."/>
      <w:lvlJc w:val="left"/>
      <w:pPr>
        <w:ind w:left="720" w:hanging="360"/>
      </w:pPr>
    </w:lvl>
    <w:lvl w:ilvl="1" w:tplc="97232863" w:tentative="1">
      <w:start w:val="1"/>
      <w:numFmt w:val="lowerLetter"/>
      <w:lvlText w:val="%2."/>
      <w:lvlJc w:val="left"/>
      <w:pPr>
        <w:ind w:left="1440" w:hanging="360"/>
      </w:pPr>
    </w:lvl>
    <w:lvl w:ilvl="2" w:tplc="97232863" w:tentative="1">
      <w:start w:val="1"/>
      <w:numFmt w:val="lowerRoman"/>
      <w:lvlText w:val="%3."/>
      <w:lvlJc w:val="right"/>
      <w:pPr>
        <w:ind w:left="2160" w:hanging="180"/>
      </w:pPr>
    </w:lvl>
    <w:lvl w:ilvl="3" w:tplc="97232863" w:tentative="1">
      <w:start w:val="1"/>
      <w:numFmt w:val="decimal"/>
      <w:lvlText w:val="%4."/>
      <w:lvlJc w:val="left"/>
      <w:pPr>
        <w:ind w:left="2880" w:hanging="360"/>
      </w:pPr>
    </w:lvl>
    <w:lvl w:ilvl="4" w:tplc="97232863" w:tentative="1">
      <w:start w:val="1"/>
      <w:numFmt w:val="lowerLetter"/>
      <w:lvlText w:val="%5."/>
      <w:lvlJc w:val="left"/>
      <w:pPr>
        <w:ind w:left="3600" w:hanging="360"/>
      </w:pPr>
    </w:lvl>
    <w:lvl w:ilvl="5" w:tplc="97232863" w:tentative="1">
      <w:start w:val="1"/>
      <w:numFmt w:val="lowerRoman"/>
      <w:lvlText w:val="%6."/>
      <w:lvlJc w:val="right"/>
      <w:pPr>
        <w:ind w:left="4320" w:hanging="180"/>
      </w:pPr>
    </w:lvl>
    <w:lvl w:ilvl="6" w:tplc="97232863" w:tentative="1">
      <w:start w:val="1"/>
      <w:numFmt w:val="decimal"/>
      <w:lvlText w:val="%7."/>
      <w:lvlJc w:val="left"/>
      <w:pPr>
        <w:ind w:left="5040" w:hanging="360"/>
      </w:pPr>
    </w:lvl>
    <w:lvl w:ilvl="7" w:tplc="97232863" w:tentative="1">
      <w:start w:val="1"/>
      <w:numFmt w:val="lowerLetter"/>
      <w:lvlText w:val="%8."/>
      <w:lvlJc w:val="left"/>
      <w:pPr>
        <w:ind w:left="5760" w:hanging="360"/>
      </w:pPr>
    </w:lvl>
    <w:lvl w:ilvl="8" w:tplc="97232863" w:tentative="1">
      <w:start w:val="1"/>
      <w:numFmt w:val="lowerRoman"/>
      <w:lvlText w:val="%9."/>
      <w:lvlJc w:val="right"/>
      <w:pPr>
        <w:ind w:left="6480" w:hanging="180"/>
      </w:pPr>
    </w:lvl>
  </w:abstractNum>
  <w:abstractNum w:abstractNumId="29525066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2928865">
    <w:multiLevelType w:val="hybridMultilevel"/>
    <w:lvl w:ilvl="0" w:tplc="59967260">
      <w:start w:val="1"/>
      <w:numFmt w:val="decimal"/>
      <w:lvlText w:val="%1."/>
      <w:lvlJc w:val="left"/>
      <w:pPr>
        <w:ind w:left="720" w:hanging="360"/>
      </w:pPr>
    </w:lvl>
    <w:lvl w:ilvl="1" w:tplc="59967260" w:tentative="1">
      <w:start w:val="1"/>
      <w:numFmt w:val="lowerLetter"/>
      <w:lvlText w:val="%2."/>
      <w:lvlJc w:val="left"/>
      <w:pPr>
        <w:ind w:left="1440" w:hanging="360"/>
      </w:pPr>
    </w:lvl>
    <w:lvl w:ilvl="2" w:tplc="59967260" w:tentative="1">
      <w:start w:val="1"/>
      <w:numFmt w:val="lowerRoman"/>
      <w:lvlText w:val="%3."/>
      <w:lvlJc w:val="right"/>
      <w:pPr>
        <w:ind w:left="2160" w:hanging="180"/>
      </w:pPr>
    </w:lvl>
    <w:lvl w:ilvl="3" w:tplc="59967260" w:tentative="1">
      <w:start w:val="1"/>
      <w:numFmt w:val="decimal"/>
      <w:lvlText w:val="%4."/>
      <w:lvlJc w:val="left"/>
      <w:pPr>
        <w:ind w:left="2880" w:hanging="360"/>
      </w:pPr>
    </w:lvl>
    <w:lvl w:ilvl="4" w:tplc="59967260" w:tentative="1">
      <w:start w:val="1"/>
      <w:numFmt w:val="lowerLetter"/>
      <w:lvlText w:val="%5."/>
      <w:lvlJc w:val="left"/>
      <w:pPr>
        <w:ind w:left="3600" w:hanging="360"/>
      </w:pPr>
    </w:lvl>
    <w:lvl w:ilvl="5" w:tplc="59967260" w:tentative="1">
      <w:start w:val="1"/>
      <w:numFmt w:val="lowerRoman"/>
      <w:lvlText w:val="%6."/>
      <w:lvlJc w:val="right"/>
      <w:pPr>
        <w:ind w:left="4320" w:hanging="180"/>
      </w:pPr>
    </w:lvl>
    <w:lvl w:ilvl="6" w:tplc="59967260" w:tentative="1">
      <w:start w:val="1"/>
      <w:numFmt w:val="decimal"/>
      <w:lvlText w:val="%7."/>
      <w:lvlJc w:val="left"/>
      <w:pPr>
        <w:ind w:left="5040" w:hanging="360"/>
      </w:pPr>
    </w:lvl>
    <w:lvl w:ilvl="7" w:tplc="59967260" w:tentative="1">
      <w:start w:val="1"/>
      <w:numFmt w:val="lowerLetter"/>
      <w:lvlText w:val="%8."/>
      <w:lvlJc w:val="left"/>
      <w:pPr>
        <w:ind w:left="5760" w:hanging="360"/>
      </w:pPr>
    </w:lvl>
    <w:lvl w:ilvl="8" w:tplc="59967260" w:tentative="1">
      <w:start w:val="1"/>
      <w:numFmt w:val="lowerRoman"/>
      <w:lvlText w:val="%9."/>
      <w:lvlJc w:val="right"/>
      <w:pPr>
        <w:ind w:left="6480" w:hanging="180"/>
      </w:pPr>
    </w:lvl>
  </w:abstractNum>
  <w:abstractNum w:abstractNumId="92928864">
    <w:multiLevelType w:val="hybridMultilevel"/>
    <w:lvl w:ilvl="0" w:tplc="55712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928864">
    <w:abstractNumId w:val="92928864"/>
  </w:num>
  <w:num w:numId="92928865">
    <w:abstractNumId w:val="92928865"/>
  </w:num>
  <w:num w:numId="295250666">
    <w:abstractNumId w:val="295250666"/>
  </w:num>
  <w:num w:numId="92928866">
    <w:abstractNumId w:val="92928866"/>
  </w:num>
  <w:num w:numId="494674327">
    <w:abstractNumId w:val="4946743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20577350" Type="http://schemas.openxmlformats.org/officeDocument/2006/relationships/numbering" Target="numbering.xml"/><Relationship Id="rId53292909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