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8911277" w:name="document"/>
    <w:bookmarkEnd w:id="28911277"/>
    <w:p/>
    <w:p>
      <w:pPr>
        <w:widowControl w:val="on"/>
        <w:pBdr/>
        <w:spacing w:before="0" w:after="280" w:line="240" w:lineRule="auto"/>
        <w:ind w:left="0" w:right="0"/>
        <w:jc w:val="left"/>
      </w:pPr>
      <w:r>
        <w:rPr>
          <w:rFonts w:ascii="Arial" w:hAnsi="Arial" w:eastAsia="Arial" w:cs="Arial"/>
          <w:color w:val="363A40"/>
          <w:sz w:val="24"/>
          <w:szCs w:val="24"/>
        </w:rPr>
        <w:t xml:space="preserve">Dokument-ID: 1118406 | Silvia Vinkovits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Nichtigkeitsbeschwerde und Berufung gegen ein Urteil eines
Geschworenengerichts</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Strafsachen Graz</w:t>
      </w:r>
      <w:r>
        <w:rPr>
          <w:rFonts w:ascii="Arial" w:hAnsi="Arial" w:eastAsia="Arial" w:cs="Arial"/>
          <w:color w:val="000000"/>
          <w:sz w:val="20"/>
          <w:szCs w:val="20"/>
        </w:rPr>
        <w:br/>
        <w:t xml:space="preserve">Conrad-von-Hötzendorf-Straße 41</w:t>
      </w:r>
      <w:r>
        <w:rPr>
          <w:rFonts w:ascii="Arial" w:hAnsi="Arial" w:eastAsia="Arial" w:cs="Arial"/>
          <w:color w:val="000000"/>
          <w:sz w:val="20"/>
          <w:szCs w:val="20"/>
        </w:rPr>
        <w:br/>
        <w:t xml:space="preserve">8010 Graz</w:t>
      </w:r>
    </w:p>
    <w:p>
      <w:pPr>
        <w:widowControl w:val="on"/>
        <w:pBdr/>
        <w:spacing w:before="140" w:after="240" w:line="288" w:lineRule="auto"/>
        <w:ind w:left="0" w:right="0"/>
        <w:jc w:val="right"/>
      </w:pPr>
      <w:r>
        <w:rPr>
          <w:rFonts w:ascii="Arial" w:hAnsi="Arial" w:eastAsia="Arial" w:cs="Arial"/>
          <w:color w:val="000000"/>
          <w:sz w:val="20"/>
          <w:szCs w:val="20"/>
        </w:rPr>
        <w:t xml:space="preserve">… Hv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Angeklagter: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X.Y, geboren am …</w:t>
            </w:r>
            <w:r>
              <w:rPr>
                <w:rFonts w:ascii="Arial" w:hAnsi="Arial" w:eastAsia="Arial" w:cs="Arial"/>
                <w:color w:val="000000"/>
                <w:position w:val="0"/>
                <w:sz w:val="20"/>
                <w:szCs w:val="20"/>
                <w:shd w:val="clear" w:color="auto" w:fill="FFFFFF"/>
              </w:rPr>
              <w:br/>
              <w:t xml:space="preserve">österr Staatsangehöriger</w:t>
            </w:r>
            <w:r>
              <w:rPr>
                <w:rFonts w:ascii="Arial" w:hAnsi="Arial" w:eastAsia="Arial" w:cs="Arial"/>
                <w:color w:val="000000"/>
                <w:position w:val="0"/>
                <w:sz w:val="20"/>
                <w:szCs w:val="20"/>
                <w:shd w:val="clear" w:color="auto" w:fill="FFFFFF"/>
              </w:rPr>
              <w:br/>
              <w:t xml:space="preserve">dzt in Untersuchungshaft in der JA Graz-Jakomini</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N.N., Rechtsanwalt</w:t>
            </w:r>
            <w:r>
              <w:rPr>
                <w:rFonts w:ascii="Arial" w:hAnsi="Arial" w:eastAsia="Arial" w:cs="Arial"/>
                <w:color w:val="000000"/>
                <w:position w:val="0"/>
                <w:sz w:val="20"/>
                <w:szCs w:val="20"/>
                <w:shd w:val="clear" w:color="auto" w:fill="FFFFFF"/>
              </w:rPr>
              <w:br/>
              <w:t xml:space="preserve">Adresse, ev R-Code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mit Bescheid der RAK Stmk. bestellter
Verfahrenshelfer)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15, 75 StGB</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Ausführung der
Nichtigkeitsbeschwerde und Berufung</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Gegen das Urteil des Landesgerichtes für Strafsachen Graz als
Geschworenengericht vom … [Datum], das dem Verteidiger des
Angeklagten am … [Datum] zugestellt wurde, führt dieser seine in
der Hauptverhandlung vom … [Datum] angemeldete</w:t>
      </w:r>
    </w:p>
    <w:p>
      <w:pPr>
        <w:widowControl w:val="on"/>
        <w:pBdr/>
        <w:spacing w:before="140" w:after="240" w:line="288" w:lineRule="auto"/>
        <w:ind w:left="0" w:right="0"/>
        <w:jc w:val="left"/>
      </w:pPr>
      <w:r>
        <w:rPr>
          <w:rFonts w:ascii="Arial" w:hAnsi="Arial" w:eastAsia="Arial" w:cs="Arial"/>
          <w:color w:val="000000"/>
          <w:sz w:val="20"/>
          <w:szCs w:val="20"/>
        </w:rPr>
        <w:t xml:space="preserve">Nichtigkeitsbeschwerde und Berufung</w:t>
      </w:r>
    </w:p>
    <w:p>
      <w:pPr>
        <w:widowControl w:val="on"/>
        <w:pBdr/>
        <w:spacing w:before="140" w:after="240" w:line="288" w:lineRule="auto"/>
        <w:ind w:left="0" w:right="0"/>
        <w:jc w:val="left"/>
      </w:pPr>
      <w:r>
        <w:rPr>
          <w:rFonts w:ascii="Arial" w:hAnsi="Arial" w:eastAsia="Arial" w:cs="Arial"/>
          <w:color w:val="000000"/>
          <w:sz w:val="20"/>
          <w:szCs w:val="20"/>
        </w:rPr>
        <w:t xml:space="preserve">in offener Frist aus 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 Nichtigkeitsbeschwerde</w:t>
      </w:r>
    </w:p>
    <w:p>
      <w:pPr>
        <w:widowControl w:val="on"/>
        <w:pBdr/>
        <w:spacing w:before="140" w:after="240" w:line="288" w:lineRule="auto"/>
        <w:ind w:left="0" w:right="0"/>
        <w:jc w:val="left"/>
      </w:pPr>
      <w:r>
        <w:rPr>
          <w:rFonts w:ascii="Arial" w:hAnsi="Arial" w:eastAsia="Arial" w:cs="Arial"/>
          <w:color w:val="000000"/>
          <w:sz w:val="20"/>
          <w:szCs w:val="20"/>
        </w:rPr>
        <w:t xml:space="preserve">Es werden die Nichtigkeitsgründe des § 345 Abs 1
Z 5 und Z 6 StPO geltend gemacht.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Ad § 345 Abs 1 Z 5 StPO</w:t>
      </w:r>
    </w:p>
    <w:p>
      <w:pPr>
        <w:widowControl w:val="on"/>
        <w:pBdr/>
        <w:spacing w:before="140" w:after="240" w:line="288" w:lineRule="auto"/>
        <w:ind w:left="0" w:right="0"/>
        <w:jc w:val="left"/>
      </w:pPr>
      <w:r>
        <w:rPr>
          <w:rFonts w:ascii="Arial" w:hAnsi="Arial" w:eastAsia="Arial" w:cs="Arial"/>
          <w:color w:val="000000"/>
          <w:sz w:val="20"/>
          <w:szCs w:val="20"/>
        </w:rPr>
        <w:t xml:space="preserve">In der Hauptverhandlung vom … [Datum]
hat der Angeklagte folgende Anträge gestellt (vgl S… des
Hv-Protokolls):</w:t>
      </w:r>
    </w:p>
    <w:p>
      <w:pPr>
        <w:numPr>
          <w:ilvl w:val="0"/>
          <w:numId w:val="8829214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Einvernahme der Diplomsozialarbeiterin Frau A.B. zum Beweis
dafür, dass er keinesfalls zu Kontrollverlust neigt und daher von
ihm keine Gefahr ausgeht,</w:t>
      </w:r>
    </w:p>
    <w:p>
      <w:pPr>
        <w:numPr>
          <w:ilvl w:val="0"/>
          <w:numId w:val="8829214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Einvernahme des Zeugen Bezirksinspektor C.D. vom LKA …, zum
Beweis dafür, dass die Verfassung des Angeklagten nach der Tat
keine Anhaltspunkte auf das Vorliegen einer geistigen Störung
bot,</w:t>
      </w:r>
    </w:p>
    <w:p>
      <w:pPr>
        <w:numPr>
          <w:ilvl w:val="0"/>
          <w:numId w:val="8829214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Einvernahme des Arztes der JA Graz-Jakomini, Herrn Dr.
Z.Z., der anlässlich einer Ordnungswidrigkeit in der JA die
Zurechnungsfähigkeit des Angeklagten verneinte, zum Beweis dafür,
dass dieser Vorfall tendenziell eine Ausnahmeerscheinung im
Verhalten des Angeklagten dargestellt hat, sowie</w:t>
      </w:r>
    </w:p>
    <w:p>
      <w:pPr>
        <w:numPr>
          <w:ilvl w:val="0"/>
          <w:numId w:val="8829214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Einvernahme des Zeugen Dr. P.P, eines Neurologen, der den
Angeklagten bis zu seiner Übersiedelung nach Graz behandelte zum
Beweis dafür, dass der Angeklagte nicht zu aggressiven
Wutausbrüchen neigt.</w:t>
      </w:r>
    </w:p>
    <w:p>
      <w:pPr>
        <w:widowControl w:val="on"/>
        <w:pBdr/>
        <w:spacing w:before="140" w:after="240" w:line="288" w:lineRule="auto"/>
        <w:ind w:left="0" w:right="0"/>
        <w:jc w:val="left"/>
      </w:pPr>
      <w:r>
        <w:rPr>
          <w:rFonts w:ascii="Arial" w:hAnsi="Arial" w:eastAsia="Arial" w:cs="Arial"/>
          <w:color w:val="000000"/>
          <w:sz w:val="20"/>
          <w:szCs w:val="20"/>
        </w:rPr>
        <w:t xml:space="preserve">Sämtliche Anträge wurden prozessordnungsgemäß gestellt und
betreffen für die rechtsrichtige Lösung der Schuldfrage erhebliche
Umstände. Weder das erkennende Gericht noch der psychiatrische
Sachverständige Dr. S hatten mit dem Angeklagten unmittelbar
nach der Tat Kontakt, auch der Zeuge Inspektor K. hat nach eigenen
Angaben nur etwa eine Minute bei der Festnahme mit dem Angeklagten
direkt gesprochen (S … des Hv-Protokolls).</w:t>
      </w:r>
    </w:p>
    <w:p>
      <w:pPr>
        <w:widowControl w:val="on"/>
        <w:pBdr/>
        <w:spacing w:before="140" w:after="240" w:line="288" w:lineRule="auto"/>
        <w:ind w:left="0" w:right="0"/>
        <w:jc w:val="left"/>
      </w:pPr>
      <w:r>
        <w:rPr>
          <w:rFonts w:ascii="Arial" w:hAnsi="Arial" w:eastAsia="Arial" w:cs="Arial"/>
          <w:color w:val="000000"/>
          <w:sz w:val="20"/>
          <w:szCs w:val="20"/>
        </w:rPr>
        <w:t xml:space="preserve">Der Zeuge Bezirksinspektor C.D. hat den Angeklagten gegenüber
über einen längeren Zeitraum hinweg einvernommen und auch noch
anlässlich einer Ausführung in jenen Lagerraum, in dem dieser seine
persönlichen Dinge gelagert hat, mit ihm unmittelbaren Kontakt.
Dort hat ihm der Angeklagte ein Seil, das er für einen Suizid
bereit gelegt hatte, gezeigt, ebenso die Spuren eines Einbruchs
(Anlass der Tat war, dass der Angeklagte über den Diebstahl eines
Dokumentes sehr aufgebracht war).</w:t>
      </w:r>
    </w:p>
    <w:p>
      <w:pPr>
        <w:widowControl w:val="on"/>
        <w:pBdr/>
        <w:spacing w:before="140" w:after="240" w:line="288" w:lineRule="auto"/>
        <w:ind w:left="0" w:right="0"/>
        <w:jc w:val="left"/>
      </w:pPr>
      <w:r>
        <w:rPr>
          <w:rFonts w:ascii="Arial" w:hAnsi="Arial" w:eastAsia="Arial" w:cs="Arial"/>
          <w:color w:val="000000"/>
          <w:sz w:val="20"/>
          <w:szCs w:val="20"/>
        </w:rPr>
        <w:t xml:space="preserve">Der psychiatrische Sachverständige Dr. S hatte nicht die
Möglichkeit, diesen Zeugen und seine Wahrnehmungen zum Verhalten
des Angeklagten und seinem psychischen Zustand im Zeitraum
unmittelbar nach der Tat zu befragen. Da der Sachverständige aber
mit der Klärung der Frage, ob der Angeklagte zum Tatzeitraum
zurechnungsfähig war, befasst war, sind die Beobachtungen jener
Personen, die kurz nach der Tat längere Zeit mit ihm in Kontakt
standen und über den Vorfall mit ihm sprachen, von besonderer
Bedeutung.</w:t>
      </w:r>
    </w:p>
    <w:p>
      <w:pPr>
        <w:widowControl w:val="on"/>
        <w:pBdr/>
        <w:spacing w:before="140" w:after="240" w:line="288" w:lineRule="auto"/>
        <w:ind w:left="0" w:right="0"/>
        <w:jc w:val="left"/>
      </w:pPr>
      <w:r>
        <w:rPr>
          <w:rFonts w:ascii="Arial" w:hAnsi="Arial" w:eastAsia="Arial" w:cs="Arial"/>
          <w:color w:val="000000"/>
          <w:sz w:val="20"/>
          <w:szCs w:val="20"/>
        </w:rPr>
        <w:t xml:space="preserve">Auch der Zeuge Dr. Z.Z., Anstaltsarzt der JA Graz Jakomini, ist
aufgrund einer während der Anhaltung begangenen Ordnungswidrigkeit
zum Schluss gekommen, dass der Angeklagte zum Tatzeitpunkt
zurechnungsunfähig war. Selbst wenn es sich bei ihm um einen
Allgemeinmediziner handelt, so sind seine Beobachtungen und
Schlüsse, dass sich der Angeklagte zu einem Zeitpunkt kurz nach dem
verfahrensgegenständlichen Vorfall bei der Begehung einer
Ordnungswidrigkeit im Zustand der Zurechnungsunfähigkeit befunden
habe, von Interesse.</w:t>
      </w:r>
    </w:p>
    <w:p>
      <w:pPr>
        <w:widowControl w:val="on"/>
        <w:pBdr/>
        <w:spacing w:before="140" w:after="240" w:line="288" w:lineRule="auto"/>
        <w:ind w:left="0" w:right="0"/>
        <w:jc w:val="left"/>
      </w:pPr>
      <w:r>
        <w:rPr>
          <w:rFonts w:ascii="Arial" w:hAnsi="Arial" w:eastAsia="Arial" w:cs="Arial"/>
          <w:color w:val="000000"/>
          <w:sz w:val="20"/>
          <w:szCs w:val="20"/>
        </w:rPr>
        <w:t xml:space="preserve">Die entscheidende Frage, ob sich der Angeklagte zum Tatzeitpunkt
im Zustand der Zurechnungsunfähigkeit befunden hat, kann nur
richtig gelöst und beurteilt werden, wenn sämtliche Beobachtungen
und Indikatoren seiner psychischen Verfassung herangezogen werden
und dem psychiatrischen Sachverständigen die Möglichkeit geboten
wird, Personen, die kurz nach der Tat mit ihm in Kontakt standen,
zu ihren Wahrnehmungen zu befragen.</w:t>
      </w:r>
    </w:p>
    <w:p>
      <w:pPr>
        <w:widowControl w:val="on"/>
        <w:pBdr/>
        <w:spacing w:before="140" w:after="240" w:line="288" w:lineRule="auto"/>
        <w:ind w:left="0" w:right="0"/>
        <w:jc w:val="left"/>
      </w:pPr>
      <w:r>
        <w:rPr>
          <w:rFonts w:ascii="Arial" w:hAnsi="Arial" w:eastAsia="Arial" w:cs="Arial"/>
          <w:color w:val="000000"/>
          <w:sz w:val="20"/>
          <w:szCs w:val="20"/>
        </w:rPr>
        <w:t xml:space="preserve">Dies gilt auch für die Zeugen A.B. und Dr. P.P., die den
Angeklagten bereits seit längerer Zeit kennen und daher Auskunft
über sein Verhalten in besonderen Stresssituationen, wie
Streitgesprächen, Frustrationserfahrungen, Lebenskrisen, etc geben
können. Diese Beobachtungen sind wiederum für die Feststellung
bedeutsam, ob der Angeklagte zum Tatzeitpunkt völlig unvorhersehbar
handelte und wie er üblicherweise in derartigen Situationen mit
Wut, Trauer, Frustration usw umgeht.</w:t>
      </w:r>
    </w:p>
    <w:p>
      <w:pPr>
        <w:widowControl w:val="on"/>
        <w:pBdr/>
        <w:spacing w:before="140" w:after="240" w:line="288" w:lineRule="auto"/>
        <w:ind w:left="0" w:right="0"/>
        <w:jc w:val="left"/>
      </w:pPr>
      <w:r>
        <w:rPr>
          <w:rFonts w:ascii="Arial" w:hAnsi="Arial" w:eastAsia="Arial" w:cs="Arial"/>
          <w:color w:val="000000"/>
          <w:sz w:val="20"/>
          <w:szCs w:val="20"/>
        </w:rPr>
        <w:t xml:space="preserve">Da dem psychiatrischen Sachverständigen auch die Beantwortung
der Frage nach dem künftigem Risiko der Begehung weiterer
Straftaten aufgetragen wurde, ist es für diesen von Interesse,
nicht nur vom Angeklagten selbst dessen
Konfliktbewältigungsstrategien, sondern auch die Eindrücke und
Wahrnehmungen von Personen aus dem persönlichen Umfeld in den
letzten Jahren zu erfahren, die zweifellos Rückschlüsse auf den
psychiatrischen Verlauf des Zustandsbildes erlauben und somit für
die Gefährlichkeitsprognose nicht ganz unbedeutend sind.</w:t>
      </w:r>
    </w:p>
    <w:p>
      <w:pPr>
        <w:widowControl w:val="on"/>
        <w:pBdr/>
        <w:spacing w:before="140" w:after="240" w:line="288" w:lineRule="auto"/>
        <w:ind w:left="0" w:right="0"/>
        <w:jc w:val="left"/>
      </w:pPr>
      <w:r>
        <w:rPr>
          <w:rFonts w:ascii="Arial" w:hAnsi="Arial" w:eastAsia="Arial" w:cs="Arial"/>
          <w:color w:val="000000"/>
          <w:sz w:val="20"/>
          <w:szCs w:val="20"/>
        </w:rPr>
        <w:t xml:space="preserve">Durch die Entscheidung, die beantragten Zeugen nicht zu hören –
die zweifellos aufschlussreiche Auskünfte über ihre Beobachtungen
zur Zurechnungsfähigkeit und zum Verhalten des Angeklagten in
konfliktträchtigen Situationen erteilen hätten können – wurden
Grundsätze des Verfahrens vernachlässigt, deren Beachtung durch das
Gebot des fairen Verfahrens, welches das Wesen der Strafverfolgung
und die Verteidigung prägt, verlangt- Diese Formverletzungen haben
einen für den Angeklagten nachteiligen Einfluss auf die
Entscheidung, weil dem psychiatrischen Sachverständigen, wie
aufgezeigt dadurch nicht sämtliche beurteilungsrelevanten Umstände
bei der Gutachtenserstellung bekannt waren.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Ad § 345 Abs 1 Z 6 StPO</w:t>
      </w:r>
    </w:p>
    <w:p>
      <w:pPr>
        <w:widowControl w:val="on"/>
        <w:pBdr/>
        <w:spacing w:before="140" w:after="240" w:line="288" w:lineRule="auto"/>
        <w:ind w:left="0" w:right="0"/>
        <w:jc w:val="left"/>
      </w:pPr>
      <w:r>
        <w:rPr>
          <w:rFonts w:ascii="Arial" w:hAnsi="Arial" w:eastAsia="Arial" w:cs="Arial"/>
          <w:color w:val="000000"/>
          <w:sz w:val="20"/>
          <w:szCs w:val="20"/>
        </w:rPr>
        <w:t xml:space="preserve">Den Geschworenen wurde die Frage
(Hauptfrage 1) nach §§ 15, 75 StGB sowie die Frage
(Eventualfrage 2) nach § 87 Abs 1 StGB samt Zusatzfragen
nach § 11 StGB und Eventualfragen nach § 287 StGB zur
Beurteilung vorgelegt.</w:t>
      </w:r>
    </w:p>
    <w:p>
      <w:pPr>
        <w:widowControl w:val="on"/>
        <w:pBdr/>
        <w:spacing w:before="140" w:after="240" w:line="288" w:lineRule="auto"/>
        <w:ind w:left="0" w:right="0"/>
        <w:jc w:val="left"/>
      </w:pPr>
      <w:r>
        <w:rPr>
          <w:rFonts w:ascii="Arial" w:hAnsi="Arial" w:eastAsia="Arial" w:cs="Arial"/>
          <w:color w:val="000000"/>
          <w:sz w:val="20"/>
          <w:szCs w:val="20"/>
        </w:rPr>
        <w:t xml:space="preserve">Aufgrund der Verantwortung des Angeklagten in der
Hauptverhandlung vom … [Datum] wurde es rechtsirrig unterlassen,
den Geschworenen als weitere Eventualfrage auch die Frage nach
§ 84 StGB zu stellen.</w:t>
      </w:r>
    </w:p>
    <w:p>
      <w:pPr>
        <w:widowControl w:val="on"/>
        <w:pBdr/>
        <w:spacing w:before="140" w:after="240" w:line="288" w:lineRule="auto"/>
        <w:ind w:left="0" w:right="0"/>
        <w:jc w:val="left"/>
      </w:pPr>
      <w:r>
        <w:rPr>
          <w:rFonts w:ascii="Arial" w:hAnsi="Arial" w:eastAsia="Arial" w:cs="Arial"/>
          <w:color w:val="000000"/>
          <w:sz w:val="20"/>
          <w:szCs w:val="20"/>
        </w:rPr>
        <w:t xml:space="preserve">Der Angeklagte selbst hat dazu in der Hauptverhandlung vom …
[Datum] (S … des Hv-Protokolls) angegeben, das Opfer noch nie zuvor
gesehen zu haben, ebenso wenig habe er jemanden zu töten
beabsichtigt (Hv-Protokoll, S … unten). Er habe das
Tatwerkzeug, den Meißel, der für Holzarbeiten gedacht war, aus dem
Karton genommen, dann das Opfer nach vorne fallen sehen (S … des
Hv-Protokolls). Danach habe sich der Angeklagte hingesetzt und mit
seinem Mobiltelefon die Polizei gerufen. Im Zuge dieses Telefonates
habe er mitgeteilt „in der Herrengasse jemanden niedergestochen zu
haben, er selbst würde vor der Bank … Filiale sitzen“ (S … des
Hv-Protokolls).</w:t>
      </w:r>
    </w:p>
    <w:p>
      <w:pPr>
        <w:widowControl w:val="on"/>
        <w:pBdr/>
        <w:spacing w:before="140" w:after="240" w:line="288" w:lineRule="auto"/>
        <w:ind w:left="0" w:right="0"/>
        <w:jc w:val="left"/>
      </w:pPr>
      <w:r>
        <w:rPr>
          <w:rFonts w:ascii="Arial" w:hAnsi="Arial" w:eastAsia="Arial" w:cs="Arial"/>
          <w:color w:val="000000"/>
          <w:sz w:val="20"/>
          <w:szCs w:val="20"/>
        </w:rPr>
        <w:t xml:space="preserve">Der Angeklagte hat es nach eigener Darstellung bewusst
unterlassen, das im Rücken des Opfers steckende Tatwerkzeug zu
drehen oder zu verändern, da dies die Gefahr einer massiven Blutung
oder womöglich noch gravierendere Verletzungen hervorgerufen hätte.
Dass eine rasche medizinische Versorgung, die ja durch seinen Anruf
in die Wege geleitet wurde und laut dem SV Dr. S von Bedeutung
war (Hv-Protokoll S… oben), erschien ihm also plausibel.</w:t>
      </w:r>
    </w:p>
    <w:p>
      <w:pPr>
        <w:widowControl w:val="on"/>
        <w:pBdr/>
        <w:spacing w:before="140" w:after="240" w:line="288" w:lineRule="auto"/>
        <w:ind w:left="0" w:right="0"/>
        <w:jc w:val="left"/>
      </w:pPr>
      <w:r>
        <w:rPr>
          <w:rFonts w:ascii="Arial" w:hAnsi="Arial" w:eastAsia="Arial" w:cs="Arial"/>
          <w:color w:val="000000"/>
          <w:sz w:val="20"/>
          <w:szCs w:val="20"/>
        </w:rPr>
        <w:t xml:space="preserve">Der Zeuge T. beobachtete „eine hastige Bewegung“ und wie der
Angeklagte „nach einem Schlag“ eilig davonging, nicht aber
davonlief (S … des Hv-Protokolls).</w:t>
      </w:r>
    </w:p>
    <w:p>
      <w:pPr>
        <w:widowControl w:val="on"/>
        <w:pBdr/>
        <w:spacing w:before="140" w:after="240" w:line="288" w:lineRule="auto"/>
        <w:ind w:left="0" w:right="0"/>
        <w:jc w:val="left"/>
      </w:pPr>
      <w:r>
        <w:rPr>
          <w:rFonts w:ascii="Arial" w:hAnsi="Arial" w:eastAsia="Arial" w:cs="Arial"/>
          <w:color w:val="000000"/>
          <w:sz w:val="20"/>
          <w:szCs w:val="20"/>
        </w:rPr>
        <w:t xml:space="preserve">Der Zeuge Inspektor K. gab an, dass er von der
Landesleitzentrale die Telefonnummer des Angeklagten erhielt, ihn
anrief und fragte, wo er sich befände, worauf ihm der Angeklagte
seinen genauen Aufenthaltsort bekannt gab und sich nach Eintreffen
der Polizei widerstandslos festnehmen ließ (S … des
Hv-Protokolls).</w:t>
      </w:r>
    </w:p>
    <w:p>
      <w:pPr>
        <w:widowControl w:val="on"/>
        <w:pBdr/>
        <w:spacing w:before="140" w:after="240" w:line="288" w:lineRule="auto"/>
        <w:ind w:left="0" w:right="0"/>
        <w:jc w:val="left"/>
      </w:pPr>
      <w:r>
        <w:rPr>
          <w:rFonts w:ascii="Arial" w:hAnsi="Arial" w:eastAsia="Arial" w:cs="Arial"/>
          <w:color w:val="000000"/>
          <w:sz w:val="20"/>
          <w:szCs w:val="20"/>
        </w:rPr>
        <w:t xml:space="preserve">Das gesamte Verhalten des Angeklagten zum Tatzeitpunkt und auch
danach, nämlich, dass er eine einzige hastige Bewegung, einen
Schlag gegen das Opfer ausführte, sodann das im Rücken des Opfers
steckende Tatwerkzeug nicht veränderte oder entfernte, sofort nach
der Tat die Polizei verständigte, was die unmittelbare medizinische
Versorgung des Opfers ermöglichte und sich in der Folge der
Exekutive stellte, dokumentiert, dass der Angeklagte wohl mit
Verletzungsvorsatz handelte, darüber hinaus aber keinerlei Vorsatz
fasste. Es kam ihm somit weder auf eine absichtliche schwere
Verletzung des Opfers, noch darauf an, dieses zu töten.</w:t>
      </w:r>
    </w:p>
    <w:p>
      <w:pPr>
        <w:widowControl w:val="on"/>
        <w:pBdr/>
        <w:spacing w:before="140" w:after="240" w:line="288" w:lineRule="auto"/>
        <w:ind w:left="0" w:right="0"/>
        <w:jc w:val="left"/>
      </w:pPr>
      <w:r>
        <w:rPr>
          <w:rFonts w:ascii="Arial" w:hAnsi="Arial" w:eastAsia="Arial" w:cs="Arial"/>
          <w:color w:val="000000"/>
          <w:sz w:val="20"/>
          <w:szCs w:val="20"/>
        </w:rPr>
        <w:t xml:space="preserve">Da in der Hauptverhandlung Tatsachen vorgebracht wurden, nach
denen, wenn sie als erwiesen angenommen werden, und wonach die dem
Angeklagten zur Last gelegte Tat unter ein anderes Strafgesetz
fiele, das nicht strenger ist als das in der Anklageschrift
angeführte, wäre daher gem § 314 Abs 1 StPO eine
entsprechende Eventualfrage an die Geschworenen nach § 84 StGB
zu richten gewesen.</w:t>
      </w:r>
    </w:p>
    <w:p>
      <w:pPr>
        <w:widowControl w:val="on"/>
        <w:pBdr/>
        <w:spacing w:before="140" w:after="240" w:line="288" w:lineRule="auto"/>
        <w:ind w:left="0" w:right="0"/>
        <w:jc w:val="left"/>
      </w:pPr>
      <w:r>
        <w:rPr>
          <w:rFonts w:ascii="Arial" w:hAnsi="Arial" w:eastAsia="Arial" w:cs="Arial"/>
          <w:color w:val="000000"/>
          <w:sz w:val="20"/>
          <w:szCs w:val="20"/>
        </w:rPr>
        <w:t xml:space="preserve">Da dies nicht geschehen ist, liegt Nichtigkeit iSd § 345
Z 6 StPO vor.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 Berufung</w:t>
      </w:r>
    </w:p>
    <w:p>
      <w:pPr>
        <w:widowControl w:val="on"/>
        <w:pBdr/>
        <w:spacing w:before="140" w:after="240" w:line="288" w:lineRule="auto"/>
        <w:ind w:left="0" w:right="0"/>
        <w:jc w:val="left"/>
      </w:pPr>
      <w:r>
        <w:rPr>
          <w:rFonts w:ascii="Arial" w:hAnsi="Arial" w:eastAsia="Arial" w:cs="Arial"/>
          <w:color w:val="000000"/>
          <w:sz w:val="20"/>
          <w:szCs w:val="20"/>
        </w:rPr>
        <w:t xml:space="preserve">Mit dem angefochtenen Urteil wurde der Angeklagte wegen
versuchten Mordes zu einer Freiheitsstrafe von sechzehn Jahren
verurteilt und gem § 21 Abs 2 StGB in eine Anstalt
für geistig abnorme Rechtsbrecher eingewiesen.</w:t>
      </w:r>
    </w:p>
    <w:p>
      <w:pPr>
        <w:widowControl w:val="on"/>
        <w:pBdr/>
        <w:spacing w:before="140" w:after="240" w:line="288" w:lineRule="auto"/>
        <w:ind w:left="0" w:right="0"/>
        <w:jc w:val="left"/>
      </w:pPr>
      <w:r>
        <w:rPr>
          <w:rFonts w:ascii="Arial" w:hAnsi="Arial" w:eastAsia="Arial" w:cs="Arial"/>
          <w:color w:val="000000"/>
          <w:sz w:val="20"/>
          <w:szCs w:val="20"/>
        </w:rPr>
        <w:t xml:space="preserve">Mildernd wurde die hinsichtlich des objektiven Tatherganges
geständige Verantwortung des Angeklagten sowie der Umstand, dass es
beim Versuch geblieben ist, erschwerend die einschlägige
Vorstrafenbelastung gewertet.</w:t>
      </w:r>
    </w:p>
    <w:p>
      <w:pPr>
        <w:widowControl w:val="on"/>
        <w:pBdr/>
        <w:spacing w:before="140" w:after="240" w:line="288" w:lineRule="auto"/>
        <w:ind w:left="0" w:right="0"/>
        <w:jc w:val="left"/>
      </w:pPr>
      <w:r>
        <w:rPr>
          <w:rFonts w:ascii="Arial" w:hAnsi="Arial" w:eastAsia="Arial" w:cs="Arial"/>
          <w:color w:val="000000"/>
          <w:sz w:val="20"/>
          <w:szCs w:val="20"/>
        </w:rPr>
        <w:t xml:space="preserve">Unberücksichtigt blieb allerdings das Verhalten des Angeklagten
direkt nach der Tat, der von sich aus einen Notruf tätigte und
damit nicht nur dafür sorgte, dass die Tat bekannt und auch
aufgeklärt wird, sondern auch dem Opfer rasch ärztliche Hilfe
geleistet wird. Zudem teilte der Angeklagte nach einem Rückruf der
Exekutive auf seinem Mobiltelefon den genauen Standort mit und ließ
sich dort widerstandslos festnehmen. Der Angeklagte hat ferner kein
Verhalten gesetzt, um die Folgen der von ihm begangenen Tat noch zu
aggravieren, wie etwa Bewegen des Tatwerkzeuges in der Wunde oder
Imstichlassen des Opfers.</w:t>
      </w:r>
    </w:p>
    <w:p>
      <w:pPr>
        <w:widowControl w:val="on"/>
        <w:pBdr/>
        <w:spacing w:before="140" w:after="240" w:line="288" w:lineRule="auto"/>
        <w:ind w:left="0" w:right="0"/>
        <w:jc w:val="left"/>
      </w:pPr>
      <w:r>
        <w:rPr>
          <w:rFonts w:ascii="Arial" w:hAnsi="Arial" w:eastAsia="Arial" w:cs="Arial"/>
          <w:color w:val="000000"/>
          <w:sz w:val="20"/>
          <w:szCs w:val="20"/>
        </w:rPr>
        <w:t xml:space="preserve">Dieses Verhalten dokumentiert, dass sich der Angeklagte von der
von ihm gesetzten Tat distanziert hat, was durch die vorgenannten
Umstände belegt wird. Es wäre ihm ein Leichtes gewesen, vom Tatort
zu fliehen, wobei es fraglich erscheint, ob die Tat jemals
aufgeklärt werden hätte können. Die im Zuge des Beweisverfahrens
einvernommenen Zeugen haben weder Täter noch Opfer bewusst
wahrgenommen, weshalb es auch keine brauchbare Beschreibung seiner
Person gegeben hätte, sodass bei raschem Entfernen vom Tatort mit
der Festnahme des Angeklagten nicht unbedingt zu rechnen gewesen
wäre.</w:t>
      </w:r>
    </w:p>
    <w:p>
      <w:pPr>
        <w:widowControl w:val="on"/>
        <w:pBdr/>
        <w:spacing w:before="140" w:after="240" w:line="288" w:lineRule="auto"/>
        <w:ind w:left="0" w:right="0"/>
        <w:jc w:val="left"/>
      </w:pPr>
      <w:r>
        <w:rPr>
          <w:rFonts w:ascii="Arial" w:hAnsi="Arial" w:eastAsia="Arial" w:cs="Arial"/>
          <w:color w:val="000000"/>
          <w:sz w:val="20"/>
          <w:szCs w:val="20"/>
        </w:rPr>
        <w:t xml:space="preserve">Von der Möglichkeit zu flüchten, hat der Angeklagte aber erst
gar keinen Gebrauch gemacht, sondern sich vielmehr der Exekutive
gestellt und damit die Konsequenzen seines Handelns bewusst auf
sich genommen. Das Erstgericht hätte daher mit der Verhängung einer
weitaus geringeren Freiheitsstrafe das Auslangen finden können.</w:t>
      </w:r>
    </w:p>
    <w:p>
      <w:pPr>
        <w:widowControl w:val="on"/>
        <w:pBdr/>
        <w:spacing w:before="140" w:after="240" w:line="288" w:lineRule="auto"/>
        <w:ind w:left="0" w:right="0"/>
        <w:jc w:val="left"/>
      </w:pPr>
      <w:r>
        <w:rPr>
          <w:rFonts w:ascii="Arial" w:hAnsi="Arial" w:eastAsia="Arial" w:cs="Arial"/>
          <w:color w:val="000000"/>
          <w:sz w:val="20"/>
          <w:szCs w:val="20"/>
        </w:rPr>
        <w:t xml:space="preserve">Im Übrigen blieb das gesamt Nachtatverhalten des Angeklagten
seitens der psychiatrischen Sachverständigen bei Beurteilung der
künftigen Gefährlichkeitsprognose unberücksichtigt.</w:t>
      </w:r>
    </w:p>
    <w:p>
      <w:pPr>
        <w:widowControl w:val="on"/>
        <w:pBdr/>
        <w:spacing w:before="140" w:after="240" w:line="288" w:lineRule="auto"/>
        <w:ind w:left="0" w:right="0"/>
        <w:jc w:val="left"/>
      </w:pPr>
      <w:r>
        <w:rPr>
          <w:rFonts w:ascii="Arial" w:hAnsi="Arial" w:eastAsia="Arial" w:cs="Arial"/>
          <w:color w:val="000000"/>
          <w:sz w:val="20"/>
          <w:szCs w:val="20"/>
        </w:rPr>
        <w:t xml:space="preserve">Ein Mangel an Einsicht (der psychiatrische Sachverständige nennt
dies in seinem Gutachten „einen der für die Beurteilung der
Gefährlichkeitsprognose wesentlichen Umstände“ – vgl S… in ON…) in
die vom Angeklagten gesetzte Tat, kann diesem definitiv nicht
vorgeworfen werden, ebenso nicht Gleichgültigkeit gegenüber dem
Opfer. Das Verhalten des Angeklagten ist für eine Gewalttat
vollkommen unüblich und wäre im Gutachten entsprechend zu
analysieren, zumindest kurz zu erwähnen gewesen. Mit diesem
gewichtigen Umstand hat sich der Sachverständige jedoch nicht
auseinandergesetzt. Hätte er dies getan, wäre er zum Ergebnis
gelangt, dass in Hinblick auf das bezeichnende Verhalten des
Angeklagten nach der Tat das Risiko künftiger Straftaten nicht
besteht. Dies hätte aber zur Folge, dass eine Einweisung
gem § 21 Abs 2 StGB unterbleiben kann.</w:t>
      </w:r>
    </w:p>
    <w:p>
      <w:pPr>
        <w:widowControl w:val="on"/>
        <w:pBdr/>
        <w:spacing w:before="140" w:after="240" w:line="288" w:lineRule="auto"/>
        <w:ind w:left="0" w:right="0"/>
        <w:jc w:val="left"/>
      </w:pPr>
      <w:r>
        <w:rPr>
          <w:rFonts w:ascii="Arial" w:hAnsi="Arial" w:eastAsia="Arial" w:cs="Arial"/>
          <w:color w:val="000000"/>
          <w:sz w:val="20"/>
          <w:szCs w:val="20"/>
        </w:rPr>
        <w:t xml:space="preserve">Der Angeklagte stellt daher an den Obersten Gerichtshof die</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Anträge,</w:t>
      </w:r>
    </w:p>
    <w:p>
      <w:pPr>
        <w:numPr>
          <w:ilvl w:val="0"/>
          <w:numId w:val="9898044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Nichtigkeitsbeschwerde Folge zu geben, den Wahrspruch der
Geschworenen und das darauf beruhende Urteil aufzuheben und die
Sache zur neuerlichen Verhandlung und Entscheidung an das
Erstgericht zu verweisen,</w:t>
      </w:r>
    </w:p>
    <w:p>
      <w:pPr>
        <w:numPr>
          <w:ilvl w:val="0"/>
          <w:numId w:val="9898044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jedenfalls der Berufung Folge zu geben, die verhängte
Freiheitsstrafe tat- und schuldangemessen herabzusetzen und von der
Einweisung in eine Anstalt für geistig abnorme Rechtsbrecher
(allenfalls nach Ergänzung des psychiatrischen
Sachverständigengutachtens) gem § 21 Abs 2 StGB
abzusehen.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X.Y.</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980449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8292146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5570287">
    <w:multiLevelType w:val="hybridMultilevel"/>
    <w:lvl w:ilvl="0" w:tplc="76359705">
      <w:start w:val="1"/>
      <w:numFmt w:val="decimal"/>
      <w:lvlText w:val="%1."/>
      <w:lvlJc w:val="left"/>
      <w:pPr>
        <w:ind w:left="720" w:hanging="360"/>
      </w:pPr>
    </w:lvl>
    <w:lvl w:ilvl="1" w:tplc="76359705" w:tentative="1">
      <w:start w:val="1"/>
      <w:numFmt w:val="lowerLetter"/>
      <w:lvlText w:val="%2."/>
      <w:lvlJc w:val="left"/>
      <w:pPr>
        <w:ind w:left="1440" w:hanging="360"/>
      </w:pPr>
    </w:lvl>
    <w:lvl w:ilvl="2" w:tplc="76359705" w:tentative="1">
      <w:start w:val="1"/>
      <w:numFmt w:val="lowerRoman"/>
      <w:lvlText w:val="%3."/>
      <w:lvlJc w:val="right"/>
      <w:pPr>
        <w:ind w:left="2160" w:hanging="180"/>
      </w:pPr>
    </w:lvl>
    <w:lvl w:ilvl="3" w:tplc="76359705" w:tentative="1">
      <w:start w:val="1"/>
      <w:numFmt w:val="decimal"/>
      <w:lvlText w:val="%4."/>
      <w:lvlJc w:val="left"/>
      <w:pPr>
        <w:ind w:left="2880" w:hanging="360"/>
      </w:pPr>
    </w:lvl>
    <w:lvl w:ilvl="4" w:tplc="76359705" w:tentative="1">
      <w:start w:val="1"/>
      <w:numFmt w:val="lowerLetter"/>
      <w:lvlText w:val="%5."/>
      <w:lvlJc w:val="left"/>
      <w:pPr>
        <w:ind w:left="3600" w:hanging="360"/>
      </w:pPr>
    </w:lvl>
    <w:lvl w:ilvl="5" w:tplc="76359705" w:tentative="1">
      <w:start w:val="1"/>
      <w:numFmt w:val="lowerRoman"/>
      <w:lvlText w:val="%6."/>
      <w:lvlJc w:val="right"/>
      <w:pPr>
        <w:ind w:left="4320" w:hanging="180"/>
      </w:pPr>
    </w:lvl>
    <w:lvl w:ilvl="6" w:tplc="76359705" w:tentative="1">
      <w:start w:val="1"/>
      <w:numFmt w:val="decimal"/>
      <w:lvlText w:val="%7."/>
      <w:lvlJc w:val="left"/>
      <w:pPr>
        <w:ind w:left="5040" w:hanging="360"/>
      </w:pPr>
    </w:lvl>
    <w:lvl w:ilvl="7" w:tplc="76359705" w:tentative="1">
      <w:start w:val="1"/>
      <w:numFmt w:val="lowerLetter"/>
      <w:lvlText w:val="%8."/>
      <w:lvlJc w:val="left"/>
      <w:pPr>
        <w:ind w:left="5760" w:hanging="360"/>
      </w:pPr>
    </w:lvl>
    <w:lvl w:ilvl="8" w:tplc="76359705" w:tentative="1">
      <w:start w:val="1"/>
      <w:numFmt w:val="lowerRoman"/>
      <w:lvlText w:val="%9."/>
      <w:lvlJc w:val="right"/>
      <w:pPr>
        <w:ind w:left="6480" w:hanging="180"/>
      </w:pPr>
    </w:lvl>
  </w:abstractNum>
  <w:abstractNum w:abstractNumId="35570286">
    <w:multiLevelType w:val="hybridMultilevel"/>
    <w:lvl w:ilvl="0" w:tplc="21012797">
      <w:start w:val="1"/>
      <w:numFmt w:val="decimal"/>
      <w:lvlText w:val="%1."/>
      <w:lvlJc w:val="left"/>
      <w:pPr>
        <w:ind w:left="720" w:hanging="360"/>
      </w:pPr>
    </w:lvl>
    <w:lvl w:ilvl="1" w:tplc="21012797" w:tentative="1">
      <w:start w:val="1"/>
      <w:numFmt w:val="lowerLetter"/>
      <w:lvlText w:val="%2."/>
      <w:lvlJc w:val="left"/>
      <w:pPr>
        <w:ind w:left="1440" w:hanging="360"/>
      </w:pPr>
    </w:lvl>
    <w:lvl w:ilvl="2" w:tplc="21012797" w:tentative="1">
      <w:start w:val="1"/>
      <w:numFmt w:val="lowerRoman"/>
      <w:lvlText w:val="%3."/>
      <w:lvlJc w:val="right"/>
      <w:pPr>
        <w:ind w:left="2160" w:hanging="180"/>
      </w:pPr>
    </w:lvl>
    <w:lvl w:ilvl="3" w:tplc="21012797" w:tentative="1">
      <w:start w:val="1"/>
      <w:numFmt w:val="decimal"/>
      <w:lvlText w:val="%4."/>
      <w:lvlJc w:val="left"/>
      <w:pPr>
        <w:ind w:left="2880" w:hanging="360"/>
      </w:pPr>
    </w:lvl>
    <w:lvl w:ilvl="4" w:tplc="21012797" w:tentative="1">
      <w:start w:val="1"/>
      <w:numFmt w:val="lowerLetter"/>
      <w:lvlText w:val="%5."/>
      <w:lvlJc w:val="left"/>
      <w:pPr>
        <w:ind w:left="3600" w:hanging="360"/>
      </w:pPr>
    </w:lvl>
    <w:lvl w:ilvl="5" w:tplc="21012797" w:tentative="1">
      <w:start w:val="1"/>
      <w:numFmt w:val="lowerRoman"/>
      <w:lvlText w:val="%6."/>
      <w:lvlJc w:val="right"/>
      <w:pPr>
        <w:ind w:left="4320" w:hanging="180"/>
      </w:pPr>
    </w:lvl>
    <w:lvl w:ilvl="6" w:tplc="21012797" w:tentative="1">
      <w:start w:val="1"/>
      <w:numFmt w:val="decimal"/>
      <w:lvlText w:val="%7."/>
      <w:lvlJc w:val="left"/>
      <w:pPr>
        <w:ind w:left="5040" w:hanging="360"/>
      </w:pPr>
    </w:lvl>
    <w:lvl w:ilvl="7" w:tplc="21012797" w:tentative="1">
      <w:start w:val="1"/>
      <w:numFmt w:val="lowerLetter"/>
      <w:lvlText w:val="%8."/>
      <w:lvlJc w:val="left"/>
      <w:pPr>
        <w:ind w:left="5760" w:hanging="360"/>
      </w:pPr>
    </w:lvl>
    <w:lvl w:ilvl="8" w:tplc="21012797" w:tentative="1">
      <w:start w:val="1"/>
      <w:numFmt w:val="lowerRoman"/>
      <w:lvlText w:val="%9."/>
      <w:lvlJc w:val="right"/>
      <w:pPr>
        <w:ind w:left="6480" w:hanging="180"/>
      </w:pPr>
    </w:lvl>
  </w:abstractNum>
  <w:abstractNum w:abstractNumId="63533595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5570285">
    <w:multiLevelType w:val="hybridMultilevel"/>
    <w:lvl w:ilvl="0" w:tplc="71030856">
      <w:start w:val="1"/>
      <w:numFmt w:val="decimal"/>
      <w:lvlText w:val="%1."/>
      <w:lvlJc w:val="left"/>
      <w:pPr>
        <w:ind w:left="720" w:hanging="360"/>
      </w:pPr>
    </w:lvl>
    <w:lvl w:ilvl="1" w:tplc="71030856" w:tentative="1">
      <w:start w:val="1"/>
      <w:numFmt w:val="lowerLetter"/>
      <w:lvlText w:val="%2."/>
      <w:lvlJc w:val="left"/>
      <w:pPr>
        <w:ind w:left="1440" w:hanging="360"/>
      </w:pPr>
    </w:lvl>
    <w:lvl w:ilvl="2" w:tplc="71030856" w:tentative="1">
      <w:start w:val="1"/>
      <w:numFmt w:val="lowerRoman"/>
      <w:lvlText w:val="%3."/>
      <w:lvlJc w:val="right"/>
      <w:pPr>
        <w:ind w:left="2160" w:hanging="180"/>
      </w:pPr>
    </w:lvl>
    <w:lvl w:ilvl="3" w:tplc="71030856" w:tentative="1">
      <w:start w:val="1"/>
      <w:numFmt w:val="decimal"/>
      <w:lvlText w:val="%4."/>
      <w:lvlJc w:val="left"/>
      <w:pPr>
        <w:ind w:left="2880" w:hanging="360"/>
      </w:pPr>
    </w:lvl>
    <w:lvl w:ilvl="4" w:tplc="71030856" w:tentative="1">
      <w:start w:val="1"/>
      <w:numFmt w:val="lowerLetter"/>
      <w:lvlText w:val="%5."/>
      <w:lvlJc w:val="left"/>
      <w:pPr>
        <w:ind w:left="3600" w:hanging="360"/>
      </w:pPr>
    </w:lvl>
    <w:lvl w:ilvl="5" w:tplc="71030856" w:tentative="1">
      <w:start w:val="1"/>
      <w:numFmt w:val="lowerRoman"/>
      <w:lvlText w:val="%6."/>
      <w:lvlJc w:val="right"/>
      <w:pPr>
        <w:ind w:left="4320" w:hanging="180"/>
      </w:pPr>
    </w:lvl>
    <w:lvl w:ilvl="6" w:tplc="71030856" w:tentative="1">
      <w:start w:val="1"/>
      <w:numFmt w:val="decimal"/>
      <w:lvlText w:val="%7."/>
      <w:lvlJc w:val="left"/>
      <w:pPr>
        <w:ind w:left="5040" w:hanging="360"/>
      </w:pPr>
    </w:lvl>
    <w:lvl w:ilvl="7" w:tplc="71030856" w:tentative="1">
      <w:start w:val="1"/>
      <w:numFmt w:val="lowerLetter"/>
      <w:lvlText w:val="%8."/>
      <w:lvlJc w:val="left"/>
      <w:pPr>
        <w:ind w:left="5760" w:hanging="360"/>
      </w:pPr>
    </w:lvl>
    <w:lvl w:ilvl="8" w:tplc="71030856" w:tentative="1">
      <w:start w:val="1"/>
      <w:numFmt w:val="lowerRoman"/>
      <w:lvlText w:val="%9."/>
      <w:lvlJc w:val="right"/>
      <w:pPr>
        <w:ind w:left="6480" w:hanging="180"/>
      </w:pPr>
    </w:lvl>
  </w:abstractNum>
  <w:abstractNum w:abstractNumId="35570284">
    <w:multiLevelType w:val="hybridMultilevel"/>
    <w:lvl w:ilvl="0" w:tplc="357123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570284">
    <w:abstractNumId w:val="35570284"/>
  </w:num>
  <w:num w:numId="35570285">
    <w:abstractNumId w:val="35570285"/>
  </w:num>
  <w:num w:numId="635335952">
    <w:abstractNumId w:val="635335952"/>
  </w:num>
  <w:num w:numId="35570286">
    <w:abstractNumId w:val="35570286"/>
  </w:num>
  <w:num w:numId="35570287">
    <w:abstractNumId w:val="35570287"/>
  </w:num>
  <w:num w:numId="882921467">
    <w:abstractNumId w:val="882921467"/>
  </w:num>
  <w:num w:numId="989804491">
    <w:abstractNumId w:val="9898044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19856785" Type="http://schemas.openxmlformats.org/officeDocument/2006/relationships/numbering" Target="numbering.xml"/><Relationship Id="rId57441320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