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95380241" w:name="document"/>
    <w:bookmarkEnd w:id="95380241"/>
    <w:p/>
    <w:p>
      <w:pPr>
        <w:widowControl w:val="on"/>
        <w:pBdr/>
        <w:spacing w:before="0" w:after="280" w:line="240" w:lineRule="auto"/>
        <w:ind w:left="0" w:right="0"/>
        <w:jc w:val="left"/>
      </w:pPr>
      <w:r>
        <w:rPr>
          <w:rFonts w:ascii="Arial" w:hAnsi="Arial" w:eastAsia="Arial" w:cs="Arial"/>
          <w:color w:val="363A40"/>
          <w:sz w:val="24"/>
          <w:szCs w:val="24"/>
        </w:rPr>
        <w:t xml:space="preserve">Dokument-ID: 1118415 | Silvia Vinkovits -
Albert Scherzer | Muster | Korrespondenz</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Nichtigkeitsbeschwerde zur Wahrung des Gesetzes gem § 23
StPO</w:t>
      </w:r>
    </w:p>
    <w:p>
      <w:pPr>
        <w:widowControl w:val="on"/>
        <w:pBdr/>
        <w:spacing w:before="140" w:after="240" w:line="288" w:lineRule="auto"/>
        <w:ind w:left="0" w:right="0"/>
        <w:jc w:val="left"/>
      </w:pPr>
      <w:r>
        <w:rPr>
          <w:rFonts w:ascii="Arial" w:hAnsi="Arial" w:eastAsia="Arial" w:cs="Arial"/>
          <w:color w:val="000000"/>
          <w:sz w:val="20"/>
          <w:szCs w:val="20"/>
        </w:rPr>
        <w:t xml:space="preserve">An die Generalprokuratur</w:t>
      </w:r>
      <w:r>
        <w:rPr>
          <w:rFonts w:ascii="Arial" w:hAnsi="Arial" w:eastAsia="Arial" w:cs="Arial"/>
          <w:color w:val="000000"/>
          <w:sz w:val="20"/>
          <w:szCs w:val="20"/>
        </w:rPr>
        <w:br/>
        <w:t xml:space="preserve">beim Obersten Gerichtshof</w:t>
      </w:r>
      <w:r>
        <w:rPr>
          <w:rFonts w:ascii="Arial" w:hAnsi="Arial" w:eastAsia="Arial" w:cs="Arial"/>
          <w:color w:val="000000"/>
          <w:sz w:val="20"/>
          <w:szCs w:val="20"/>
        </w:rPr>
        <w:br/>
        <w:t xml:space="preserve">Schmerlingplatz 11</w:t>
      </w:r>
      <w:r>
        <w:rPr>
          <w:rFonts w:ascii="Arial" w:hAnsi="Arial" w:eastAsia="Arial" w:cs="Arial"/>
          <w:color w:val="000000"/>
          <w:sz w:val="20"/>
          <w:szCs w:val="20"/>
        </w:rPr>
        <w:br/>
        <w:t xml:space="preserve">1010 Wien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Einschreiter: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X.Y, geboren am …</w:t>
            </w:r>
            <w:r>
              <w:rPr>
                <w:rFonts w:ascii="Arial" w:hAnsi="Arial" w:eastAsia="Arial" w:cs="Arial"/>
                <w:color w:val="000000"/>
                <w:position w:val="0"/>
                <w:sz w:val="20"/>
                <w:szCs w:val="20"/>
                <w:shd w:val="clear" w:color="auto" w:fill="FFFFFF"/>
              </w:rPr>
              <w:br/>
              <w:t xml:space="preserve">xx Staatsbürger</w:t>
            </w:r>
            <w:r>
              <w:rPr>
                <w:rFonts w:ascii="Arial" w:hAnsi="Arial" w:eastAsia="Arial" w:cs="Arial"/>
                <w:color w:val="000000"/>
                <w:position w:val="0"/>
                <w:sz w:val="20"/>
                <w:szCs w:val="20"/>
                <w:shd w:val="clear" w:color="auto" w:fill="FFFFFF"/>
              </w:rPr>
              <w:br/>
              <w:t xml:space="preserve">Adresse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Dr. N.N., Rechtsanwalt</w:t>
            </w:r>
            <w:r>
              <w:rPr>
                <w:rFonts w:ascii="Arial" w:hAnsi="Arial" w:eastAsia="Arial" w:cs="Arial"/>
                <w:color w:val="000000"/>
                <w:position w:val="0"/>
                <w:sz w:val="20"/>
                <w:szCs w:val="20"/>
                <w:shd w:val="clear" w:color="auto" w:fill="FFFFFF"/>
              </w:rPr>
              <w:br/>
              <w:t xml:space="preserve">Adresse, ev R-Code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(Vollmacht gem § 8 RAO erteilt)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Urteil des Landesgerichtes Feldkirch vom …, Geschäftszahl</w:t>
            </w:r>
          </w:p>
        </w:tc>
      </w:tr>
    </w:tbl>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Anregung zur Erhebung
einer Nichtigkeitsbeschwerde zur Wahrung des Gesetzes</w:t>
      </w:r>
    </w:p>
    <w:p>
      <w:pPr>
        <w:widowControl w:val="on"/>
        <w:pBdr/>
        <w:spacing w:before="140" w:after="240" w:line="288" w:lineRule="auto"/>
        <w:ind w:left="0" w:right="0"/>
        <w:jc w:val="right"/>
      </w:pPr>
      <w:r>
        <w:rPr>
          <w:rFonts w:ascii="Arial" w:hAnsi="Arial" w:eastAsia="Arial" w:cs="Arial"/>
          <w:color w:val="000000"/>
          <w:sz w:val="20"/>
          <w:szCs w:val="20"/>
        </w:rPr>
        <w:t xml:space="preserve">1-fach</w:t>
      </w:r>
    </w:p>
    <w:p>
      <w:pPr>
        <w:widowControl w:val="on"/>
        <w:pBdr/>
        <w:spacing w:before="140" w:after="240" w:line="288" w:lineRule="auto"/>
        <w:ind w:left="0" w:right="0"/>
        <w:jc w:val="left"/>
      </w:pPr>
      <w:r>
        <w:rPr>
          <w:rFonts w:ascii="Arial" w:hAnsi="Arial" w:eastAsia="Arial" w:cs="Arial"/>
          <w:color w:val="000000"/>
          <w:sz w:val="20"/>
          <w:szCs w:val="20"/>
        </w:rPr>
        <w:t xml:space="preserve">Mit Urteil des Landesgerichtes Feldkirch vom …, GZ: …, ON …,
wurde der Einschreiter des Vergehens der schweren Sachbeschädigung
an einem Einsatzfahrzeug der Städtischen Sicherheitswache Feldkirch
mit dem Kennzeichen V… durch Aufstechen der Reifen schuldig erkannt
und hierfür gem § 126 Abs 1 StGB zu einer Freiheitsstrafe
in der Dauer von zwölf Monaten verurteilt.</w:t>
      </w:r>
    </w:p>
    <w:p>
      <w:pPr>
        <w:widowControl w:val="on"/>
        <w:pBdr/>
        <w:spacing w:before="140" w:after="240" w:line="288" w:lineRule="auto"/>
        <w:ind w:left="0" w:right="0"/>
        <w:jc w:val="left"/>
      </w:pPr>
      <w:r>
        <w:rPr>
          <w:rFonts w:ascii="Arial" w:hAnsi="Arial" w:eastAsia="Arial" w:cs="Arial"/>
          <w:color w:val="000000"/>
          <w:sz w:val="20"/>
          <w:szCs w:val="20"/>
        </w:rPr>
        <w:t xml:space="preserve">Gem § 43a Abs 3 StGB wurde ein Teil dieser
Freiheitsstrafe im Ausmaß von sieben Monaten unter Bestimmung einer
Probezeit von drei Jahren bedingt nachgesehen. Das Urteil erwuchs
unmittelbar nach seiner Verkündung in Rechtskraft.</w:t>
      </w:r>
    </w:p>
    <w:p>
      <w:pPr>
        <w:widowControl w:val="on"/>
        <w:pBdr/>
        <w:spacing w:before="140" w:after="240" w:line="288" w:lineRule="auto"/>
        <w:ind w:left="0" w:right="0"/>
        <w:jc w:val="left"/>
      </w:pPr>
      <w:r>
        <w:rPr>
          <w:rFonts w:ascii="Arial" w:hAnsi="Arial" w:eastAsia="Arial" w:cs="Arial"/>
          <w:color w:val="000000"/>
          <w:sz w:val="20"/>
          <w:szCs w:val="20"/>
        </w:rPr>
        <w:t xml:space="preserve">Der unbedingte Strafteil wurde bereits vollzogen und der
Einschreiter vom Vollzugsgericht mit Beschluss vom …, AZ …, des
Landesgerichtes Feldkirch zum (Entlassungsdatum) gem § 46
Abs 1 StGB iVm § 152 Abs 1 Z 1, Z 2 StVG
bedingt entlassen.</w:t>
      </w:r>
    </w:p>
    <w:p>
      <w:pPr>
        <w:widowControl w:val="on"/>
        <w:pBdr/>
        <w:spacing w:before="140" w:after="240" w:line="288" w:lineRule="auto"/>
        <w:ind w:left="0" w:right="0"/>
        <w:jc w:val="left"/>
      </w:pPr>
      <w:r>
        <w:rPr>
          <w:rFonts w:ascii="Arial" w:hAnsi="Arial" w:eastAsia="Arial" w:cs="Arial"/>
          <w:color w:val="000000"/>
          <w:sz w:val="20"/>
          <w:szCs w:val="20"/>
        </w:rPr>
        <w:t xml:space="preserve">Das vorgenannte Urteil steht mit dem Gesetz nicht in
Einklang.</w:t>
      </w:r>
    </w:p>
    <w:p>
      <w:pPr>
        <w:widowControl w:val="on"/>
        <w:pBdr/>
        <w:spacing w:before="140" w:after="240" w:line="288" w:lineRule="auto"/>
        <w:ind w:left="0" w:right="0"/>
        <w:jc w:val="left"/>
      </w:pPr>
      <w:r>
        <w:rPr>
          <w:rFonts w:ascii="Arial" w:hAnsi="Arial" w:eastAsia="Arial" w:cs="Arial"/>
          <w:color w:val="000000"/>
          <w:sz w:val="20"/>
          <w:szCs w:val="20"/>
        </w:rPr>
        <w:t xml:space="preserve">Gem § 43a Abs 3 StGB hat bei bedingter Nachsicht eines
Teiles der Freiheitsstrafe der unbedingt nachgesehene Teil nicht
mehr als ein Drittel der Strafe zu betragen. Im gegenständlichen
Fall wurde somit durch die Verhängung einer unbedingten
Freiheitsstrafe in der Dauer von fünf Monaten die zulässige
gesetzliche Obergrenze von vier Monaten zum Nachteil des
Einschreiters überschritten.</w:t>
      </w:r>
    </w:p>
    <w:p>
      <w:pPr>
        <w:widowControl w:val="on"/>
        <w:pBdr/>
        <w:spacing w:before="140" w:after="240" w:line="288" w:lineRule="auto"/>
        <w:ind w:left="0" w:right="0"/>
        <w:jc w:val="left"/>
      </w:pPr>
      <w:r>
        <w:rPr>
          <w:rFonts w:ascii="Arial" w:hAnsi="Arial" w:eastAsia="Arial" w:cs="Arial"/>
          <w:color w:val="000000"/>
          <w:sz w:val="20"/>
          <w:szCs w:val="20"/>
        </w:rPr>
        <w:t xml:space="preserve">Im Hinblick darauf, dass durch die gesetzwidrige Strafzumessung
in concreto zudem Nichtigkeit gem § 281 Abs Z 11 erster
Fall StPO bewirkt wurde, ergeht daher die</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Anregung,</w:t>
      </w:r>
    </w:p>
    <w:p>
      <w:pPr>
        <w:widowControl w:val="on"/>
        <w:pBdr/>
        <w:spacing w:before="140" w:after="240" w:line="288" w:lineRule="auto"/>
        <w:ind w:left="0" w:right="0"/>
        <w:jc w:val="left"/>
      </w:pPr>
      <w:r>
        <w:rPr>
          <w:rFonts w:ascii="Arial" w:hAnsi="Arial" w:eastAsia="Arial" w:cs="Arial"/>
          <w:color w:val="000000"/>
          <w:sz w:val="20"/>
          <w:szCs w:val="20"/>
        </w:rPr>
        <w:t xml:space="preserve">zur Wahrung der Rechtsrichtigkeit strafgerichtlicher
Entscheidungen und zur Gewährleistung der Rechtssicherheit eine
Nichtigkeitsbeschwerde zur Wahrung des Gesetzes an den Obersten
Gerichtshof zu erheben.</w:t>
      </w:r>
    </w:p>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X.Y.</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color w:val="000000"/>
          <w:sz w:val="20"/>
          <w:szCs w:val="20"/>
        </w:rPr>
        <w:t xml:space="preserve">Allgemeines: Die zentrale Kompetenz der Generalprokuratur ist
die allein ihr zustehende Befugnis, gegen Urteile der
Strafgerichte, die auf einer Verletzung oder unrichtigen Anwendung
des Gesetzes beruhen, sowie gegen jeden gesetzwidrigen Beschluss
oder Vorgang eines Strafgerichts, der ihr zur Kenntnis gelangt,
eine Nichtigkeitsbeschwerde zur Wahrung des Gesetzes einzubringen
und beim Obersten Gerichtshof eine Feststellung der
Gesetzeswidrigkeit zu erwirken.</w:t>
      </w:r>
    </w:p>
    <w:p>
      <w:pPr>
        <w:widowControl w:val="on"/>
        <w:pBdr/>
        <w:spacing w:before="140" w:after="240" w:line="288" w:lineRule="auto"/>
        <w:ind w:left="0" w:right="0"/>
        <w:jc w:val="left"/>
      </w:pPr>
      <w:r>
        <w:rPr>
          <w:rFonts w:ascii="Arial" w:hAnsi="Arial" w:eastAsia="Arial" w:cs="Arial"/>
          <w:color w:val="000000"/>
          <w:sz w:val="20"/>
          <w:szCs w:val="20"/>
        </w:rPr>
        <w:t xml:space="preserve">Gegenstand: Gegenstand der Nichtigkeitsbeschwerde zur Wahrung
des Gesetzes sind Urteile, Beschlüsse oder sonstige Vorgänge eines
Strafgerichts, welche auf einer Verletzung oder unrichtigen
Anwendung des Gesetzes beruhen (§ 23 Abs 1 StPO). Soweit
das Gericht von objektiv unrichtigen Tatumständen ausgeht, handelt
es nur dann gesetzwidrig, wenn die tatsächliche
Entscheidungsgrundlage aufgrund eines rechtlich mangelhaften
Verfahrens zustande gekommen oder mit formalen Begründungsmängeln
behaftet ist. Ist die Ermittlung des Sachverhalts nach Maßgabe der
gesetzlichen Kriterien rechtlich nicht zu beanstanden, liegt keine
Gesetzwidrigkeit vor. Stellt sich nachträglich heraus, dass der vom
Strafgericht rechtens zugrunde gelegte Sachverhalt nicht der wahren
Sachlage entsprach, liegt kein Rechtsfehler vor, weil auch die
weitere Rechtsanwendung nur in Relation zu dem ihr zugrunde
gelegten Sachverhalt richtig oder falsch sein kann. Als
Rechtsbehelf in derartigen Fällen kommt die analoge Anwendung der
Bestimmungen über die außerordentliche Wiederaufnahme nach
§ 362 Abs 1 Z 2 StPO in Betracht (vgl dazu OGH
09.10.2024, 13 Os 80/24z).</w:t>
      </w:r>
    </w:p>
    <w:p>
      <w:pPr>
        <w:widowControl w:val="on"/>
        <w:pBdr/>
        <w:spacing w:before="140" w:after="240" w:line="288" w:lineRule="auto"/>
        <w:ind w:left="0" w:right="0"/>
        <w:jc w:val="left"/>
      </w:pPr>
      <w:r>
        <w:rPr>
          <w:rFonts w:ascii="Arial" w:hAnsi="Arial" w:eastAsia="Arial" w:cs="Arial"/>
          <w:color w:val="000000"/>
          <w:sz w:val="20"/>
          <w:szCs w:val="20"/>
        </w:rPr>
        <w:t xml:space="preserve">Voraussetzung: Grundvoraussetzung für die erfolgreiche
Ergreifung einer Nichtigkeitsbeschwerde zur Wahrung des Gesetzes
ist das Vorliegen eines von einem strafgerichtlichen Organwalter
veranlassten Vorgangs. Tätigkeiten der Verwaltung hingegen scheiden
von vornherein aus dem Anwendungsbereich der Nichtigkeitsbeschwerde
zur Wahrung des Gesetzes aus (RIS-Justiz RS0123625).</w:t>
      </w:r>
    </w:p>
    <w:p>
      <w:pPr>
        <w:widowControl w:val="on"/>
        <w:pBdr/>
        <w:spacing w:before="140" w:after="240" w:line="288" w:lineRule="auto"/>
        <w:ind w:left="0" w:right="0"/>
        <w:jc w:val="left"/>
      </w:pPr>
      <w:r>
        <w:rPr>
          <w:rFonts w:ascii="Arial" w:hAnsi="Arial" w:eastAsia="Arial" w:cs="Arial"/>
          <w:color w:val="000000"/>
          <w:sz w:val="20"/>
          <w:szCs w:val="20"/>
        </w:rPr>
        <w:t xml:space="preserve">Frist: Dieser unbefristet und unbeschadet eingetretener
Rechtskraft offenstehende Rechtsbehelf gewährleistet die
Richtigkeit und Einheitlichkeit der Rechtsprechung sowie die
Weiterentwicklung des Strafrechts. Dies dient insbesondere der
Strafrechtspflege.</w:t>
      </w:r>
    </w:p>
    <w:p>
      <w:pPr>
        <w:widowControl w:val="on"/>
        <w:pBdr/>
        <w:spacing w:before="140" w:after="240" w:line="288" w:lineRule="auto"/>
        <w:ind w:left="0" w:right="0"/>
        <w:jc w:val="left"/>
      </w:pPr>
      <w:r>
        <w:rPr>
          <w:rFonts w:ascii="Arial" w:hAnsi="Arial" w:eastAsia="Arial" w:cs="Arial"/>
          <w:color w:val="000000"/>
          <w:sz w:val="20"/>
          <w:szCs w:val="20"/>
        </w:rPr>
        <w:t xml:space="preserve">Zulässigkeit: Dass die Generalprokuratur ihrerseits den
Bezugspunkt ihrer Nichtigkeitsbeschwerde zur Wahrung des Gesetzes
als gesetzwidrig einstuft, ist keine Voraussetzung für deren
Zulässigkeit (OGH 07.03.2016, 17 Os 33/15d).</w:t>
      </w:r>
    </w:p>
    <w:p>
      <w:pPr>
        <w:widowControl w:val="on"/>
        <w:pBdr/>
        <w:spacing w:before="140" w:after="240" w:line="288" w:lineRule="auto"/>
        <w:ind w:left="0" w:right="0"/>
        <w:jc w:val="left"/>
      </w:pPr>
      <w:r>
        <w:rPr>
          <w:rFonts w:ascii="Arial" w:hAnsi="Arial" w:eastAsia="Arial" w:cs="Arial"/>
          <w:color w:val="000000"/>
          <w:sz w:val="20"/>
          <w:szCs w:val="20"/>
        </w:rPr>
        <w:t xml:space="preserve">Rechtsmittelbelehrung: Die unrichtige Rechtsbelehrung über die
Dauer gesetzlicher Fristen vermag nicht den Ablauf dieser Fristen
zu hindern. Es besteht jedoch kein Hindernis, in derartigen Fällen
durch Erhebung einer Nichtigkeitsbeschwerde zur Wahrung des
Gesetzes Abhilfe zu schaffen (RIS-Justiz RS0096136).</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8436092">
    <w:multiLevelType w:val="hybridMultilevel"/>
    <w:lvl w:ilvl="0" w:tplc="44749776">
      <w:start w:val="1"/>
      <w:numFmt w:val="decimal"/>
      <w:lvlText w:val="%1."/>
      <w:lvlJc w:val="left"/>
      <w:pPr>
        <w:ind w:left="720" w:hanging="360"/>
      </w:pPr>
    </w:lvl>
    <w:lvl w:ilvl="1" w:tplc="44749776" w:tentative="1">
      <w:start w:val="1"/>
      <w:numFmt w:val="lowerLetter"/>
      <w:lvlText w:val="%2."/>
      <w:lvlJc w:val="left"/>
      <w:pPr>
        <w:ind w:left="1440" w:hanging="360"/>
      </w:pPr>
    </w:lvl>
    <w:lvl w:ilvl="2" w:tplc="44749776" w:tentative="1">
      <w:start w:val="1"/>
      <w:numFmt w:val="lowerRoman"/>
      <w:lvlText w:val="%3."/>
      <w:lvlJc w:val="right"/>
      <w:pPr>
        <w:ind w:left="2160" w:hanging="180"/>
      </w:pPr>
    </w:lvl>
    <w:lvl w:ilvl="3" w:tplc="44749776" w:tentative="1">
      <w:start w:val="1"/>
      <w:numFmt w:val="decimal"/>
      <w:lvlText w:val="%4."/>
      <w:lvlJc w:val="left"/>
      <w:pPr>
        <w:ind w:left="2880" w:hanging="360"/>
      </w:pPr>
    </w:lvl>
    <w:lvl w:ilvl="4" w:tplc="44749776" w:tentative="1">
      <w:start w:val="1"/>
      <w:numFmt w:val="lowerLetter"/>
      <w:lvlText w:val="%5."/>
      <w:lvlJc w:val="left"/>
      <w:pPr>
        <w:ind w:left="3600" w:hanging="360"/>
      </w:pPr>
    </w:lvl>
    <w:lvl w:ilvl="5" w:tplc="44749776" w:tentative="1">
      <w:start w:val="1"/>
      <w:numFmt w:val="lowerRoman"/>
      <w:lvlText w:val="%6."/>
      <w:lvlJc w:val="right"/>
      <w:pPr>
        <w:ind w:left="4320" w:hanging="180"/>
      </w:pPr>
    </w:lvl>
    <w:lvl w:ilvl="6" w:tplc="44749776" w:tentative="1">
      <w:start w:val="1"/>
      <w:numFmt w:val="decimal"/>
      <w:lvlText w:val="%7."/>
      <w:lvlJc w:val="left"/>
      <w:pPr>
        <w:ind w:left="5040" w:hanging="360"/>
      </w:pPr>
    </w:lvl>
    <w:lvl w:ilvl="7" w:tplc="44749776" w:tentative="1">
      <w:start w:val="1"/>
      <w:numFmt w:val="lowerLetter"/>
      <w:lvlText w:val="%8."/>
      <w:lvlJc w:val="left"/>
      <w:pPr>
        <w:ind w:left="5760" w:hanging="360"/>
      </w:pPr>
    </w:lvl>
    <w:lvl w:ilvl="8" w:tplc="44749776" w:tentative="1">
      <w:start w:val="1"/>
      <w:numFmt w:val="lowerRoman"/>
      <w:lvlText w:val="%9."/>
      <w:lvlJc w:val="right"/>
      <w:pPr>
        <w:ind w:left="6480" w:hanging="180"/>
      </w:pPr>
    </w:lvl>
  </w:abstractNum>
  <w:abstractNum w:abstractNumId="98436091">
    <w:multiLevelType w:val="hybridMultilevel"/>
    <w:lvl w:ilvl="0" w:tplc="5584506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8436091">
    <w:abstractNumId w:val="98436091"/>
  </w:num>
  <w:num w:numId="98436092">
    <w:abstractNumId w:val="9843609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29703900" Type="http://schemas.openxmlformats.org/officeDocument/2006/relationships/numbering" Target="numbering.xml"/><Relationship Id="rId230482228"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