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980678" w:name="document"/>
    <w:bookmarkEnd w:id="60980678"/>
    <w:p/>
    <w:p>
      <w:pPr>
        <w:widowControl w:val="on"/>
        <w:pBdr/>
        <w:spacing w:before="0" w:after="280" w:line="240" w:lineRule="auto"/>
        <w:ind w:left="0" w:right="0"/>
        <w:jc w:val="left"/>
      </w:pPr>
      <w:r>
        <w:rPr>
          <w:rFonts w:ascii="Arial" w:hAnsi="Arial" w:eastAsia="Arial" w:cs="Arial"/>
          <w:color w:val="363A40"/>
          <w:sz w:val="24"/>
          <w:szCs w:val="24"/>
        </w:rPr>
        <w:t xml:space="preserve">Dokument-ID: 1008417 | Alexander Kdolsky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Bescheidbeschwerde iZm der Wiederaufnahme von
Körperschaftsteuerverfahren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Rechtskraft und Rechtskraftdurchbrechung</w:t>
      </w:r>
    </w:p>
    <w:p>
      <w:pPr>
        <w:widowControl w:val="on"/>
        <w:pBdr/>
        <w:spacing w:before="140" w:after="240" w:line="288" w:lineRule="auto"/>
        <w:ind w:left="0" w:right="0"/>
        <w:jc w:val="left"/>
      </w:pPr>
      <w:r>
        <w:rPr>
          <w:rFonts w:ascii="Arial" w:hAnsi="Arial" w:eastAsia="Arial" w:cs="Arial"/>
          <w:color w:val="000000"/>
          <w:sz w:val="20"/>
          <w:szCs w:val="20"/>
        </w:rPr>
        <w:t xml:space="preserve">Durch die Körperschaftsteuer (KöSt) wird das </w:t>
      </w:r>
      <w:r>
        <w:rPr>
          <w:rFonts w:ascii="Arial" w:hAnsi="Arial" w:eastAsia="Arial" w:cs="Arial"/>
          <w:b/>
          <w:bCs/>
          <w:color w:val="000000"/>
          <w:sz w:val="20"/>
          <w:szCs w:val="20"/>
        </w:rPr>
        <w:t xml:space="preserve">Einkommen
von Körperschaften</w:t>
      </w:r>
      <w:r>
        <w:rPr>
          <w:rFonts w:ascii="Arial" w:hAnsi="Arial" w:eastAsia="Arial" w:cs="Arial"/>
          <w:color w:val="000000"/>
          <w:sz w:val="20"/>
          <w:szCs w:val="20"/>
        </w:rPr>
        <w:t xml:space="preserve"> (zB AG, GmbH, Verein) besteuert
(§ 1 Abs 1 KStG).</w:t>
      </w:r>
    </w:p>
    <w:p>
      <w:pPr>
        <w:widowControl w:val="on"/>
        <w:pBdr/>
        <w:spacing w:before="140" w:after="240" w:line="288" w:lineRule="auto"/>
        <w:ind w:left="0" w:right="0"/>
        <w:jc w:val="left"/>
      </w:pPr>
      <w:r>
        <w:rPr>
          <w:rFonts w:ascii="Arial" w:hAnsi="Arial" w:eastAsia="Arial" w:cs="Arial"/>
          <w:color w:val="000000"/>
          <w:sz w:val="20"/>
          <w:szCs w:val="20"/>
        </w:rPr>
        <w:t xml:space="preserve">Wird ein Körperschaftsteuerbescheid rechtswirksam erlassen
(§§ 93 ff BAO) und in der Folge nicht mittels
Bescheidbeschwerde beim Bundesfinanzgericht (BFG) angefochten,
erwächst er in </w:t>
      </w:r>
      <w:r>
        <w:rPr>
          <w:rFonts w:ascii="Arial" w:hAnsi="Arial" w:eastAsia="Arial" w:cs="Arial"/>
          <w:b/>
          <w:bCs/>
          <w:color w:val="000000"/>
          <w:sz w:val="20"/>
          <w:szCs w:val="20"/>
        </w:rPr>
        <w:t xml:space="preserve">Rechtskraft</w:t>
      </w: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Die Rechtskraft ist Ausdruck des Gedankens „des
Schutzbedürfnisses der Parteien und der Bewirkung des
Rechtsfriedens“ (VwGH 25.09.1997, 97/16/0368).</w:t>
      </w:r>
    </w:p>
    <w:p>
      <w:pPr>
        <w:widowControl w:val="on"/>
        <w:pBdr/>
        <w:spacing w:before="140" w:after="240" w:line="288" w:lineRule="auto"/>
        <w:ind w:left="0" w:right="0"/>
        <w:jc w:val="left"/>
      </w:pPr>
      <w:r>
        <w:rPr>
          <w:rFonts w:ascii="Arial" w:hAnsi="Arial" w:eastAsia="Arial" w:cs="Arial"/>
          <w:color w:val="000000"/>
          <w:sz w:val="20"/>
          <w:szCs w:val="20"/>
        </w:rPr>
        <w:t xml:space="preserve">Demgegenüber bewirkt die </w:t>
      </w:r>
      <w:r>
        <w:rPr>
          <w:rFonts w:ascii="Arial" w:hAnsi="Arial" w:eastAsia="Arial" w:cs="Arial"/>
          <w:b/>
          <w:bCs/>
          <w:color w:val="000000"/>
          <w:sz w:val="20"/>
          <w:szCs w:val="20"/>
        </w:rPr>
        <w:t xml:space="preserve">Wiederaufnahme</w:t>
      </w:r>
      <w:r>
        <w:rPr>
          <w:rFonts w:ascii="Arial" w:hAnsi="Arial" w:eastAsia="Arial" w:cs="Arial"/>
          <w:color w:val="000000"/>
          <w:sz w:val="20"/>
          <w:szCs w:val="20"/>
        </w:rPr>
        <w:t xml:space="preserve"> des
Verfahrens eine </w:t>
      </w:r>
      <w:r>
        <w:rPr>
          <w:rFonts w:ascii="Arial" w:hAnsi="Arial" w:eastAsia="Arial" w:cs="Arial"/>
          <w:b/>
          <w:bCs/>
          <w:color w:val="000000"/>
          <w:sz w:val="20"/>
          <w:szCs w:val="20"/>
        </w:rPr>
        <w:t xml:space="preserve">Rechtskraftdurchbrechung</w:t>
      </w:r>
      <w:r>
        <w:rPr>
          <w:rFonts w:ascii="Arial" w:hAnsi="Arial" w:eastAsia="Arial" w:cs="Arial"/>
          <w:color w:val="000000"/>
          <w:sz w:val="20"/>
          <w:szCs w:val="20"/>
        </w:rPr>
        <w:t xml:space="preserve"> aus
bestimmten Gründen, wobei diesbezüglich „dem Prinzip der
Rechtsrichtigkeit gegenüber jenem der Rechtsbeständigkeit der
Vorrang einzuräumen ist“ (VwGH 09.07.1997, 95/13/0124 [VwSlg 7196
F/1997]).</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Wiederaufnahme des Verfahrens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Wiederaufnahmsgründe</w:t>
      </w:r>
    </w:p>
    <w:p>
      <w:pPr>
        <w:widowControl w:val="on"/>
        <w:pBdr/>
        <w:spacing w:before="140" w:after="240" w:line="288" w:lineRule="auto"/>
        <w:ind w:left="0" w:right="0"/>
        <w:jc w:val="left"/>
      </w:pPr>
      <w:r>
        <w:rPr>
          <w:rFonts w:ascii="Arial" w:hAnsi="Arial" w:eastAsia="Arial" w:cs="Arial"/>
          <w:color w:val="000000"/>
          <w:sz w:val="20"/>
          <w:szCs w:val="20"/>
        </w:rPr>
        <w:t xml:space="preserve">Die Wiederaufnahme eines durch Abgabenbescheid abgeschlossenen
Verfahrens ist in den §§ 303 bis 307 BAO geregelt und erfolgt
entweder </w:t>
      </w:r>
      <w:r>
        <w:rPr>
          <w:rFonts w:ascii="Arial" w:hAnsi="Arial" w:eastAsia="Arial" w:cs="Arial"/>
          <w:b/>
          <w:bCs/>
          <w:color w:val="000000"/>
          <w:sz w:val="20"/>
          <w:szCs w:val="20"/>
        </w:rPr>
        <w:t xml:space="preserve">auf Antrag</w:t>
      </w:r>
      <w:r>
        <w:rPr>
          <w:rFonts w:ascii="Arial" w:hAnsi="Arial" w:eastAsia="Arial" w:cs="Arial"/>
          <w:color w:val="000000"/>
          <w:sz w:val="20"/>
          <w:szCs w:val="20"/>
        </w:rPr>
        <w:t xml:space="preserve"> einer Partei oder im Rahmen
der behördlichen Ermessensübung </w:t>
      </w:r>
      <w:r>
        <w:rPr>
          <w:rFonts w:ascii="Arial" w:hAnsi="Arial" w:eastAsia="Arial" w:cs="Arial"/>
          <w:b/>
          <w:bCs/>
          <w:color w:val="000000"/>
          <w:sz w:val="20"/>
          <w:szCs w:val="20"/>
        </w:rPr>
        <w:t xml:space="preserve">von Amts wegen</w:t>
      </w:r>
      <w:r>
        <w:rPr>
          <w:rFonts w:ascii="Arial" w:hAnsi="Arial" w:eastAsia="Arial" w:cs="Arial"/>
          <w:color w:val="000000"/>
          <w:sz w:val="20"/>
          <w:szCs w:val="20"/>
        </w:rPr>
        <w:t xml:space="preserve"> (zB
nach einer durchgeführten Außenprüfung).</w:t>
      </w:r>
    </w:p>
    <w:p>
      <w:pPr>
        <w:widowControl w:val="on"/>
        <w:pBdr/>
        <w:spacing w:before="140" w:after="240" w:line="288" w:lineRule="auto"/>
        <w:ind w:left="0" w:right="0"/>
        <w:jc w:val="left"/>
      </w:pPr>
      <w:r>
        <w:rPr>
          <w:rFonts w:ascii="Arial" w:hAnsi="Arial" w:eastAsia="Arial" w:cs="Arial"/>
          <w:color w:val="000000"/>
          <w:sz w:val="20"/>
          <w:szCs w:val="20"/>
        </w:rPr>
        <w:t xml:space="preserve">Demnach kann die Wiederaufnahme verfügt werden, wenn</w:t>
      </w:r>
    </w:p>
    <w:p>
      <w:pPr>
        <w:numPr>
          <w:ilvl w:val="0"/>
          <w:numId w:val="805940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der Wiederaufnahmsgründe (§ 303 Abs 1
lit a bis c BAO) vorliegt, dh
</w:t>
      </w:r>
    </w:p>
    <w:p>
      <w:pPr>
        <w:numPr>
          <w:ilvl w:val="1"/>
          <w:numId w:val="805940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Bescheid durch eine gerichtlich strafbare Tat herbeigeführt
oder sonst wie </w:t>
      </w:r>
      <w:r>
        <w:rPr>
          <w:rFonts w:ascii="Arial" w:hAnsi="Arial" w:eastAsia="Arial" w:cs="Arial"/>
          <w:b/>
          <w:bCs/>
          <w:color w:val="000000"/>
          <w:sz w:val="20"/>
          <w:szCs w:val="20"/>
        </w:rPr>
        <w:t xml:space="preserve">erschlichen</w:t>
      </w:r>
      <w:r>
        <w:rPr>
          <w:rFonts w:ascii="Arial" w:hAnsi="Arial" w:eastAsia="Arial" w:cs="Arial"/>
          <w:color w:val="000000"/>
          <w:sz w:val="20"/>
          <w:szCs w:val="20"/>
        </w:rPr>
        <w:t xml:space="preserve"> worden ist, oder</w:t>
      </w:r>
    </w:p>
    <w:p>
      <w:pPr>
        <w:numPr>
          <w:ilvl w:val="1"/>
          <w:numId w:val="80594019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Tatsachen oder Beweismittel</w:t>
      </w:r>
      <w:r>
        <w:rPr>
          <w:rFonts w:ascii="Arial" w:hAnsi="Arial" w:eastAsia="Arial" w:cs="Arial"/>
          <w:color w:val="000000"/>
          <w:sz w:val="20"/>
          <w:szCs w:val="20"/>
        </w:rPr>
        <w:t xml:space="preserve"> im abgeschlossenen
Verfahren </w:t>
      </w:r>
      <w:r>
        <w:rPr>
          <w:rFonts w:ascii="Arial" w:hAnsi="Arial" w:eastAsia="Arial" w:cs="Arial"/>
          <w:b/>
          <w:bCs/>
          <w:color w:val="000000"/>
          <w:sz w:val="20"/>
          <w:szCs w:val="20"/>
        </w:rPr>
        <w:t xml:space="preserve">neu hervorgekommen</w:t>
      </w:r>
      <w:r>
        <w:rPr>
          <w:rFonts w:ascii="Arial" w:hAnsi="Arial" w:eastAsia="Arial" w:cs="Arial"/>
          <w:color w:val="000000"/>
          <w:sz w:val="20"/>
          <w:szCs w:val="20"/>
        </w:rPr>
        <w:t xml:space="preserve"> sind, oder</w:t>
      </w:r>
    </w:p>
    <w:p>
      <w:pPr>
        <w:numPr>
          <w:ilvl w:val="1"/>
          <w:numId w:val="805940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Bescheid von </w:t>
      </w:r>
      <w:r>
        <w:rPr>
          <w:rFonts w:ascii="Arial" w:hAnsi="Arial" w:eastAsia="Arial" w:cs="Arial"/>
          <w:b/>
          <w:bCs/>
          <w:color w:val="000000"/>
          <w:sz w:val="20"/>
          <w:szCs w:val="20"/>
        </w:rPr>
        <w:t xml:space="preserve">Vorfragen</w:t>
      </w:r>
      <w:r>
        <w:rPr>
          <w:rFonts w:ascii="Arial" w:hAnsi="Arial" w:eastAsia="Arial" w:cs="Arial"/>
          <w:color w:val="000000"/>
          <w:sz w:val="20"/>
          <w:szCs w:val="20"/>
        </w:rPr>
        <w:t xml:space="preserve"> (§ 116 BAO)
abhängig war und nachträglich über die Vorfrage von der
Verwaltungsbehörde bzw dem Gericht in wesentlichen Punkten anders
entschieden worden ist, und</w:t>
      </w:r>
    </w:p>
    <w:p>
      <w:pPr>
        <w:numPr>
          <w:ilvl w:val="0"/>
          <w:numId w:val="805940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jeweils die Kenntnis dieser Umstände allein oder in Verbindung
mit dem sonstigen Ergebnis des Verfahrens einen im Spruch anders
lautenden Bescheid herbeigeführt hätte.</w:t>
      </w:r>
    </w:p>
    <w:p>
      <w:pPr>
        <w:widowControl w:val="on"/>
        <w:pBdr/>
        <w:spacing w:before="140" w:after="240" w:line="288" w:lineRule="auto"/>
        <w:ind w:left="0" w:right="0"/>
        <w:jc w:val="left"/>
      </w:pPr>
      <w:r>
        <w:rPr>
          <w:rFonts w:ascii="Arial" w:hAnsi="Arial" w:eastAsia="Arial" w:cs="Arial"/>
          <w:color w:val="000000"/>
          <w:sz w:val="20"/>
          <w:szCs w:val="20"/>
        </w:rPr>
        <w:t xml:space="preserve">Der Gesetzgeber des (die amtswegige und die antragsgebundene
Wiederaufnahme harmonisierenden) FVwGG 2012 (RV 2007 BlgNR XXIV.
GP, 22) betont, dass die Wiederaufnahme des Verfahrens (aus
Ermessensüberlegungen) nur ausnahmsweise unterbleiben darf, nämlich
insbesondere</w:t>
      </w:r>
    </w:p>
    <w:p>
      <w:pPr>
        <w:numPr>
          <w:ilvl w:val="0"/>
          <w:numId w:val="7271367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absoluter und relativer Geringfügigkeit der
Auswirkungen,</w:t>
      </w:r>
    </w:p>
    <w:p>
      <w:pPr>
        <w:numPr>
          <w:ilvl w:val="0"/>
          <w:numId w:val="7271367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Vortäuschung von Aktiva in
Gläubigerschädigungsabsicht,</w:t>
      </w:r>
    </w:p>
    <w:p>
      <w:pPr>
        <w:numPr>
          <w:ilvl w:val="0"/>
          <w:numId w:val="7271367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wiederholter vorsätzlicher Verletzung abgabenrechtlicher
Pflichten,</w:t>
      </w:r>
    </w:p>
    <w:p>
      <w:pPr>
        <w:numPr>
          <w:ilvl w:val="0"/>
          <w:numId w:val="7271367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Folge des Grundsatzes von Treu und Glauben oder</w:t>
      </w:r>
    </w:p>
    <w:p>
      <w:pPr>
        <w:numPr>
          <w:ilvl w:val="0"/>
          <w:numId w:val="7271367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Uneinbringlichkeit der aus ihr resultierenden
Nachforderung.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Wiederaufnahme nach Verjährung</w:t>
      </w:r>
    </w:p>
    <w:p>
      <w:pPr>
        <w:widowControl w:val="on"/>
        <w:pBdr/>
        <w:spacing w:before="140" w:after="240" w:line="288" w:lineRule="auto"/>
        <w:ind w:left="0" w:right="0"/>
        <w:jc w:val="left"/>
      </w:pPr>
      <w:r>
        <w:rPr>
          <w:rFonts w:ascii="Arial" w:hAnsi="Arial" w:eastAsia="Arial" w:cs="Arial"/>
          <w:color w:val="000000"/>
          <w:sz w:val="20"/>
          <w:szCs w:val="20"/>
        </w:rPr>
        <w:t xml:space="preserve">Nach Eintritt der Verjährung ist gem § 304 BAO eine
Wiederaufnahme des Verfahrens nur zulässig, wenn sie</w:t>
      </w:r>
    </w:p>
    <w:p>
      <w:pPr>
        <w:numPr>
          <w:ilvl w:val="0"/>
          <w:numId w:val="8873155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Eintritt der Verjährungsfrist beantragt wird, oder</w:t>
      </w:r>
    </w:p>
    <w:p>
      <w:pPr>
        <w:numPr>
          <w:ilvl w:val="0"/>
          <w:numId w:val="8873155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innerhalb von drei Jahren ab Eintritt der Rechtskraft des das
Verfahren abschließenden Bescheides beantragt oder durchgeführt
wird.</w:t>
      </w:r>
    </w:p>
    <w:p>
      <w:pPr>
        <w:widowControl w:val="on"/>
        <w:pBdr/>
        <w:spacing w:before="140" w:after="240" w:line="288" w:lineRule="auto"/>
        <w:ind w:left="0" w:right="0"/>
        <w:jc w:val="left"/>
      </w:pPr>
      <w:r>
        <w:rPr>
          <w:rFonts w:ascii="Arial" w:hAnsi="Arial" w:eastAsia="Arial" w:cs="Arial"/>
          <w:color w:val="000000"/>
          <w:sz w:val="20"/>
          <w:szCs w:val="20"/>
        </w:rPr>
        <w:t xml:space="preserve">Unter Rechtskraft ist die formelle Rechtskraft zu verstehen
(VwGH 16.12.2010, 2007/16/0188).</w:t>
      </w:r>
    </w:p>
    <w:p>
      <w:pPr>
        <w:widowControl w:val="on"/>
        <w:pBdr/>
        <w:spacing w:before="140" w:after="240" w:line="288" w:lineRule="auto"/>
        <w:ind w:left="0" w:right="0"/>
        <w:jc w:val="left"/>
      </w:pPr>
      <w:r>
        <w:rPr>
          <w:rFonts w:ascii="Arial" w:hAnsi="Arial" w:eastAsia="Arial" w:cs="Arial"/>
          <w:color w:val="000000"/>
          <w:sz w:val="20"/>
          <w:szCs w:val="20"/>
        </w:rPr>
        <w:t xml:space="preserve">§ 304 BAO betrifft sowohl die beantragte als auch die
amtswegige Wiederaufnahme. Die geltende Fassung der Bestimmung
beruht auf dem JStG 2018, welches § 304 BAO aufgrund dessen
Aufhebung durch den VfGH als verfassungswidrig (VfGH 30.11.2017, G
131/2017 [VfSlg 20.218/2017]) mit Wirkung ab 1. Jänner 2019
neugefasst hat. Diese neue Fassung wurde als „nicht unsachlich“
befunden (VfGH 30.11.2023, E2721/2022).</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Verfahren</w:t>
      </w:r>
    </w:p>
    <w:p>
      <w:pPr>
        <w:widowControl w:val="on"/>
        <w:pBdr/>
        <w:spacing w:before="140" w:after="240" w:line="288" w:lineRule="auto"/>
        <w:ind w:left="0" w:right="0"/>
        <w:jc w:val="left"/>
      </w:pPr>
      <w:r>
        <w:rPr>
          <w:rFonts w:ascii="Arial" w:hAnsi="Arial" w:eastAsia="Arial" w:cs="Arial"/>
          <w:color w:val="000000"/>
          <w:sz w:val="20"/>
          <w:szCs w:val="20"/>
        </w:rPr>
        <w:t xml:space="preserve">Der (verfahrensrechtliche [VwGH 26.11.2015, Ro 2014/15/0035])
Bescheid, mit dem die Wiederaufnahme des Verfahrens von Amts wegen
durch das Finanzamt verfügt wird bzw mit dem über den
Wiederaufnahmeantrag entschieden wird, kann durch
Bescheidbeschwerde beim BFG angefochten werden (Art 131
Abs 3 B-VG; § 243 BAO).</w:t>
      </w:r>
    </w:p>
    <w:p>
      <w:pPr>
        <w:widowControl w:val="on"/>
        <w:pBdr/>
        <w:spacing w:before="140" w:after="240" w:line="288" w:lineRule="auto"/>
        <w:ind w:left="0" w:right="0"/>
        <w:jc w:val="left"/>
      </w:pPr>
      <w:r>
        <w:rPr>
          <w:rFonts w:ascii="Arial" w:hAnsi="Arial" w:eastAsia="Arial" w:cs="Arial"/>
          <w:color w:val="000000"/>
          <w:sz w:val="20"/>
          <w:szCs w:val="20"/>
        </w:rPr>
        <w:t xml:space="preserve">Wenn auch § 307 Abs 1 BAO die Verbindung des
Wiederaufnahmebescheides mit dem neuen Sachbescheid anordnet, so
ist doch jeder dieser Bescheide für sich einer Anfechtung
zugänglich (VwGH 25.04.2016, Ra 2016/16/0015).</w:t>
      </w:r>
    </w:p>
    <w:p>
      <w:pPr>
        <w:widowControl w:val="on"/>
        <w:pBdr/>
        <w:spacing w:before="140" w:after="240" w:line="288" w:lineRule="auto"/>
        <w:ind w:left="0" w:right="0"/>
        <w:jc w:val="left"/>
      </w:pPr>
      <w:r>
        <w:rPr>
          <w:rFonts w:ascii="Arial" w:hAnsi="Arial" w:eastAsia="Arial" w:cs="Arial"/>
          <w:color w:val="000000"/>
          <w:sz w:val="20"/>
          <w:szCs w:val="20"/>
        </w:rPr>
        <w:t xml:space="preserve">Für Eingaben an Verwaltungsbehörden und Verwaltungsgerichte in
Abgabensachen fällt keine Eingabengebühr an (§ 14 TP 6
Abs 5 Z 4 GebG). Beschwerden iZm der Wiederaufnahme von
KöSt-Verfahren an das BFG sind daher gebührenfrei.</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Aussetzung der Einhebung</w:t>
      </w:r>
    </w:p>
    <w:p>
      <w:pPr>
        <w:widowControl w:val="on"/>
        <w:pBdr/>
        <w:spacing w:before="140" w:after="240" w:line="288" w:lineRule="auto"/>
        <w:ind w:left="0" w:right="0"/>
        <w:jc w:val="left"/>
      </w:pPr>
      <w:r>
        <w:rPr>
          <w:rFonts w:ascii="Arial" w:hAnsi="Arial" w:eastAsia="Arial" w:cs="Arial"/>
          <w:color w:val="000000"/>
          <w:sz w:val="20"/>
          <w:szCs w:val="20"/>
        </w:rPr>
        <w:t xml:space="preserve">Beschwerden kommt keine aufschiebende Wirkung zu, insbesondere
wird die Einhebung und zwangsweise Einbringung einer Abgabe nicht
aufgehalten (§ 254 BAO). Es kann jedoch bis zur Entscheidung
über die Bescheidbeschwerde ein Antrag auf Aussetzung der Einhebung
(Zahlungsaufschub) gem § 212a BAO gestellt werden, wenn die
Einhebung einer Abgabe bzw deren Höhe von der Erledigung einer
Bescheidbeschwerde abhängt (was auch im Beispiel der Fall sein
kann).</w:t>
      </w:r>
    </w:p>
    <w:p>
      <w:pPr>
        <w:widowControl w:val="on"/>
        <w:pBdr/>
        <w:spacing w:before="140" w:after="240" w:line="288" w:lineRule="auto"/>
        <w:ind w:left="0" w:right="0"/>
        <w:jc w:val="left"/>
      </w:pPr>
      <w:r>
        <w:rPr>
          <w:rFonts w:ascii="Arial" w:hAnsi="Arial" w:eastAsia="Arial" w:cs="Arial"/>
          <w:color w:val="000000"/>
          <w:sz w:val="20"/>
          <w:szCs w:val="20"/>
        </w:rPr>
        <w:t xml:space="preserve">Aussetzungsanträge – über die die Bescheid erlassende
Abgabenbehörde zu entscheiden hat (VwGH 01.03.2018, Ra
2016/16/0045) und die daher auch an diese (und nicht das
Verwaltungsgericht) zu richten sind – haben die Darstellung der
Ermittlung des für die Aussetzung in Betracht kommenden
Abgabenbetrages zu enthalten. Es ist daher anzugeben, von welcher
bekämpften Abgabenschuld in welcher Höhe Aussetzung begehrt wird.
Wird der die Abgabenschuld vorschreibende Bescheid zur Gänze
bekämpft, ist sohin Aussetzung in Höhe der ganzen vorgeschriebenen
Abgabenschuld zu beantragen. Entsprechendes gilt bei einer – im
Hinblick auf die Höhe der vorgeschriebenen Abgabenschuld – bloß
teilweisen Bekämpfung.</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Antrag auf Aussetzung der Einhebung der durch mittels
gegenständlicher Beschwerde bekämpften Bescheid vorgeschriebenen
Abgabe iHv EUR …</w:t>
      </w:r>
    </w:p>
    <w:p>
      <w:pPr>
        <w:widowControl w:val="on"/>
        <w:pBdr/>
        <w:spacing w:before="140" w:after="240" w:line="288" w:lineRule="auto"/>
        <w:ind w:left="0" w:right="0"/>
        <w:jc w:val="left"/>
      </w:pPr>
      <w:r>
        <w:rPr>
          <w:rFonts w:ascii="Arial" w:hAnsi="Arial" w:eastAsia="Arial" w:cs="Arial"/>
          <w:color w:val="000000"/>
          <w:sz w:val="20"/>
          <w:szCs w:val="20"/>
        </w:rPr>
        <w:t xml:space="preserve">Die Aussetzung der Einhebung – auf deren Bewilligung bei
Vorliegen der Voraussetzungen prinzipiell ein Rechtsanspruch
besteht (VwGH 16.12.2009, 2007/15/0294; VwGH 31.01.2019, Ra
2018/15/0003) – ist ua nicht zu bewilligen,</w:t>
      </w:r>
    </w:p>
    <w:p>
      <w:pPr>
        <w:numPr>
          <w:ilvl w:val="0"/>
          <w:numId w:val="8923274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die Beschwerde wenig erfolgversprechend erscheint
oder</w:t>
      </w:r>
    </w:p>
    <w:p>
      <w:pPr>
        <w:numPr>
          <w:ilvl w:val="0"/>
          <w:numId w:val="8923274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das Verhalten des Abgabepflichtigen auf eine Gefährdung
der Einbringlichkeit der Abgabe gerichtet ist.</w:t>
      </w:r>
    </w:p>
    <w:p>
      <w:pPr>
        <w:widowControl w:val="on"/>
        <w:pBdr/>
        <w:spacing w:before="140" w:after="240" w:line="288" w:lineRule="auto"/>
        <w:ind w:left="0" w:right="0"/>
        <w:jc w:val="left"/>
      </w:pPr>
      <w:r>
        <w:rPr>
          <w:rFonts w:ascii="Arial" w:hAnsi="Arial" w:eastAsia="Arial" w:cs="Arial"/>
          <w:color w:val="000000"/>
          <w:sz w:val="20"/>
          <w:szCs w:val="20"/>
        </w:rPr>
        <w:t xml:space="preserve">Für bewilligte Aussetzungen sind Aussetzungszinsen iHv 2 %
über dem Basiszinssatz (am 1. Juli 2025: 1,53 %) zu
entrichten, soweit der Beschwerde nicht stattgegeben wird (vgl VwGH
31.03.2017, Ra 2016/13/0034).</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das</w:t>
      </w:r>
      <w:bookmarkStart w:id="18460112" w:name="link1"/>
      <w:bookmarkEnd w:id="18460112"/>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Finanzamt</w:t>
      </w:r>
      <w:r>
        <w:rPr>
          <w:rFonts w:ascii="Arial" w:hAnsi="Arial" w:eastAsia="Arial" w:cs="Arial"/>
          <w:color w:val="000000"/>
          <w:sz w:val="20"/>
          <w:szCs w:val="20"/>
        </w:rPr>
        <w:br/>
        <w:t xml:space="preserve">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bookmarkStart w:id="71115651" w:name="link2"/>
            <w:bookmarkEnd w:id="71115651"/>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[Bezeichnung der Körperschaft]</w:t>
            </w:r>
            <w:r>
              <w:rPr>
                <w:rFonts w:ascii="Arial" w:hAnsi="Arial" w:eastAsia="Arial" w:cs="Arial"/>
                <w:color w:val="000000"/>
                <w:position w:val="0"/>
                <w:sz w:val="20"/>
                <w:szCs w:val="20"/>
                <w:shd w:val="clear" w:color="auto" w:fill="FFFFFF"/>
              </w:rPr>
              <w:br/>
              <w:t xml:space="preserve">… [Angabe des Vertretungsbefugten (§ 80 Abs 1 BAO)]</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[Telefon/E-Mail-Adresse]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w:t>
            </w:r>
            <w:r>
              <w:rPr>
                <w:rFonts w:ascii="Arial" w:hAnsi="Arial" w:eastAsia="Arial" w:cs="Arial"/>
                <w:color w:val="000000"/>
                <w:position w:val="0"/>
                <w:sz w:val="20"/>
                <w:szCs w:val="20"/>
                <w:shd w:val="clear" w:color="auto" w:fill="FFFFFF"/>
              </w:rPr>
              <w:t xml:space="preserve">durch:</w:t>
            </w:r>
            <w:bookmarkStart w:id="86925233" w:name="link3"/>
            <w:bookmarkEnd w:id="86925233"/>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[Rechtsanwalt]</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 </w:t>
            </w:r>
            <w:r>
              <w:rPr>
                <w:rFonts w:ascii="Arial" w:hAnsi="Arial" w:eastAsia="Arial" w:cs="Arial"/>
                <w:color w:val="000000"/>
                <w:position w:val="0"/>
                <w:sz w:val="20"/>
                <w:szCs w:val="20"/>
                <w:shd w:val="clear" w:color="auto" w:fill="FFFFFF"/>
              </w:rPr>
              <w:t xml:space="preserve">Behörde:</w:t>
            </w:r>
            <w:bookmarkStart w:id="12229383" w:name="link4"/>
            <w:bookmarkEnd w:id="12229383"/>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[Finanzamt]</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bookmarkStart w:id="96128035" w:name="link5"/>
            <w:bookmarkEnd w:id="96128035"/>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 gem Art 130 Abs 1 Z 1 B-VG gegen den
Bescheid vom … [Datum], zugestellt am … [Datum], GZ …
[Geschäftszahl]</w:t>
            </w:r>
          </w:p>
        </w:tc>
      </w:tr>
    </w:tbl>
    <w:p>
      <w:pPr>
        <w:widowControl w:val="on"/>
        <w:pBdr/>
        <w:spacing w:before="140" w:after="240" w:line="288" w:lineRule="auto"/>
        <w:ind w:left="0" w:right="0"/>
        <w:jc w:val="right"/>
      </w:pPr>
      <w:r>
        <w:rPr>
          <w:rFonts w:ascii="Arial" w:hAnsi="Arial" w:eastAsia="Arial" w:cs="Arial"/>
          <w:color w:val="000000"/>
          <w:sz w:val="20"/>
          <w:szCs w:val="20"/>
        </w:rPr>
        <w:t xml:space="preserve">1-fach</w:t>
      </w:r>
      <w:bookmarkStart w:id="37767591" w:name="link6"/>
      <w:bookmarkEnd w:id="37767591"/>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 [Anzahl] </w:t>
      </w:r>
      <w:r>
        <w:rPr>
          <w:rFonts w:ascii="Arial" w:hAnsi="Arial" w:eastAsia="Arial" w:cs="Arial"/>
          <w:color w:val="000000"/>
          <w:sz w:val="20"/>
          <w:szCs w:val="20"/>
        </w:rPr>
        <w:t xml:space="preserve">Beilagen</w:t>
      </w:r>
      <w:bookmarkStart w:id="93919927" w:name="link7"/>
      <w:bookmarkEnd w:id="93919927"/>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des Finanzamtes vom … [Datum], zugestellt am
… [Datum], GZ … [Geschäftszahl] erhebe ich namens der vertretenen
Körperschaft als Vertretungsbefugter iSd § 80 Abs 1 BAO
[durch den bevollmächtigten Vertreter] binnen offener Frist wegen
Rechtswidrigkeit gem Art 130 Abs 1 Z 1 B-VG
folgende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Bescheidbeschwerde</w:t>
      </w:r>
    </w:p>
    <w:p>
      <w:pPr>
        <w:widowControl w:val="on"/>
        <w:pBdr/>
        <w:spacing w:before="140" w:after="240" w:line="288" w:lineRule="auto"/>
        <w:ind w:left="0" w:right="0"/>
        <w:jc w:val="left"/>
      </w:pPr>
      <w:r>
        <w:rPr>
          <w:rFonts w:ascii="Arial" w:hAnsi="Arial" w:eastAsia="Arial" w:cs="Arial"/>
          <w:color w:val="000000"/>
          <w:sz w:val="20"/>
          <w:szCs w:val="20"/>
        </w:rPr>
        <w:t xml:space="preserve">an das Bundesfinanzgericht wegen Verletzung des … [durch
Art/§ Gesetz] einfachgesetzlich/verfassungsgesetzlich
gewährleisteten Rechtes [auf </w:t>
      </w:r>
      <w:r>
        <w:rPr>
          <w:rFonts w:ascii="Arial" w:hAnsi="Arial" w:eastAsia="Arial" w:cs="Arial"/>
          <w:color w:val="000000"/>
          <w:sz w:val="20"/>
          <w:szCs w:val="20"/>
        </w:rPr>
        <w:t xml:space="preserve">…].</w:t>
      </w:r>
      <w:bookmarkStart w:id="85287460" w:name="link8"/>
      <w:bookmarkEnd w:id="85287460"/>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I. </w:t>
      </w:r>
      <w:r>
        <w:rPr>
          <w:rFonts w:ascii="Arial" w:hAnsi="Arial" w:eastAsia="Arial" w:cs="Arial"/>
          <w:color w:val="000000"/>
          <w:sz w:val="20"/>
          <w:szCs w:val="20"/>
        </w:rPr>
        <w:t xml:space="preserve">Sachverhalt:</w:t>
      </w:r>
      <w:bookmarkStart w:id="62306493" w:name="link9"/>
      <w:bookmarkEnd w:id="62306493"/>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 [Darstellung des (insbesondere für die geltend gemachte
Rechtsverletzung) relevanten Sachverhaltes, auch neues
Sachvorbringen ist zulässig. Eventuell Wiederholung von bislang
unberücksichtigt gebliebenen Beweisanboten bzw neue
Beweisanbote]</w:t>
      </w:r>
    </w:p>
    <w:p>
      <w:pPr>
        <w:widowControl w:val="on"/>
        <w:pBdr/>
        <w:spacing w:before="140" w:after="240" w:line="288" w:lineRule="auto"/>
        <w:ind w:left="0" w:right="0"/>
        <w:jc w:val="left"/>
      </w:pPr>
      <w:r>
        <w:rPr>
          <w:rFonts w:ascii="Arial" w:hAnsi="Arial" w:eastAsia="Arial" w:cs="Arial"/>
          <w:color w:val="000000"/>
          <w:sz w:val="20"/>
          <w:szCs w:val="20"/>
        </w:rPr>
        <w:t xml:space="preserve">II. Ich stelle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widowControl w:val="on"/>
        <w:pBdr/>
        <w:spacing w:before="140" w:after="240" w:line="288" w:lineRule="auto"/>
        <w:ind w:left="0" w:right="0"/>
        <w:jc w:val="left"/>
      </w:pPr>
      <w:r>
        <w:rPr>
          <w:rFonts w:ascii="Arial" w:hAnsi="Arial" w:eastAsia="Arial" w:cs="Arial"/>
          <w:color w:val="000000"/>
          <w:sz w:val="20"/>
          <w:szCs w:val="20"/>
        </w:rPr>
        <w:t xml:space="preserve">das Bundesfinanzgericht möge</w:t>
      </w:r>
    </w:p>
    <w:p>
      <w:pPr>
        <w:numPr>
          <w:ilvl w:val="0"/>
          <w:numId w:val="564836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angefochtenen Bescheid ersatzlos </w:t>
      </w:r>
      <w:r>
        <w:rPr>
          <w:rFonts w:ascii="Arial" w:hAnsi="Arial" w:eastAsia="Arial" w:cs="Arial"/>
          <w:color w:val="000000"/>
          <w:sz w:val="20"/>
          <w:szCs w:val="20"/>
        </w:rPr>
        <w:t xml:space="preserve">aufheben,</w:t>
      </w:r>
      <w:bookmarkStart w:id="4202722" w:name="link10"/>
      <w:bookmarkEnd w:id="4202722"/>
      <w:hyperlink w:anchor="note10" w:history="1">
        <w:r>
          <w:rPr>
            <w:rFonts w:ascii="Arial" w:hAnsi="Arial" w:eastAsia="Arial" w:cs="Arial"/>
            <w:b/>
            <w:bCs/>
            <w:color w:val="006BB6"/>
            <w:position w:val="4"/>
            <w:sz w:val="22"/>
            <w:szCs w:val="22"/>
            <w:vertAlign w:val="superscript"/>
          </w:rPr>
          <w:t xml:space="preserve">10</w:t>
        </w:r>
      </w:hyperlink>
    </w:p>
    <w:p>
      <w:pPr>
        <w:numPr>
          <w:ilvl w:val="0"/>
          <w:numId w:val="564836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272 Abs 2 Z 1 lit a BAO durch Senat
</w:t>
      </w:r>
      <w:r>
        <w:rPr>
          <w:rFonts w:ascii="Arial" w:hAnsi="Arial" w:eastAsia="Arial" w:cs="Arial"/>
          <w:color w:val="000000"/>
          <w:sz w:val="20"/>
          <w:szCs w:val="20"/>
        </w:rPr>
        <w:t xml:space="preserve">entscheiden,</w:t>
      </w:r>
      <w:bookmarkStart w:id="22414767" w:name="link11"/>
      <w:bookmarkEnd w:id="22414767"/>
      <w:hyperlink w:anchor="note11" w:history="1">
        <w:r>
          <w:rPr>
            <w:rFonts w:ascii="Arial" w:hAnsi="Arial" w:eastAsia="Arial" w:cs="Arial"/>
            <w:b/>
            <w:bCs/>
            <w:color w:val="006BB6"/>
            <w:position w:val="4"/>
            <w:sz w:val="22"/>
            <w:szCs w:val="22"/>
            <w:vertAlign w:val="superscript"/>
          </w:rPr>
          <w:t xml:space="preserve">11</w:t>
        </w:r>
      </w:hyperlink>
    </w:p>
    <w:p>
      <w:pPr>
        <w:numPr>
          <w:ilvl w:val="0"/>
          <w:numId w:val="564836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274 Abs 1 Z 1 lit a BAO eine
öffentliche mündliche Verhandlung </w:t>
      </w:r>
      <w:r>
        <w:rPr>
          <w:rFonts w:ascii="Arial" w:hAnsi="Arial" w:eastAsia="Arial" w:cs="Arial"/>
          <w:color w:val="000000"/>
          <w:sz w:val="20"/>
          <w:szCs w:val="20"/>
        </w:rPr>
        <w:t xml:space="preserve">durchführen,</w:t>
      </w:r>
      <w:bookmarkStart w:id="39969848" w:name="link12"/>
      <w:bookmarkEnd w:id="39969848"/>
      <w:hyperlink w:anchor="note12" w:history="1">
        <w:r>
          <w:rPr>
            <w:rFonts w:ascii="Arial" w:hAnsi="Arial" w:eastAsia="Arial" w:cs="Arial"/>
            <w:b/>
            <w:bCs/>
            <w:color w:val="006BB6"/>
            <w:position w:val="4"/>
            <w:sz w:val="22"/>
            <w:szCs w:val="22"/>
            <w:vertAlign w:val="superscript"/>
          </w:rPr>
          <w:t xml:space="preserve">12</w:t>
        </w:r>
      </w:hyperlink>
    </w:p>
    <w:p>
      <w:pPr>
        <w:numPr>
          <w:ilvl w:val="0"/>
          <w:numId w:val="564836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292 BAO den Verfahrenshilfeantrag </w:t>
      </w:r>
      <w:r>
        <w:rPr>
          <w:rFonts w:ascii="Arial" w:hAnsi="Arial" w:eastAsia="Arial" w:cs="Arial"/>
          <w:color w:val="000000"/>
          <w:sz w:val="20"/>
          <w:szCs w:val="20"/>
        </w:rPr>
        <w:t xml:space="preserve">bewilligen:</w:t>
      </w:r>
      <w:bookmarkStart w:id="11354857" w:name="link13"/>
      <w:bookmarkEnd w:id="11354857"/>
      <w:hyperlink w:anchor="note13" w:history="1">
        <w:r>
          <w:rPr>
            <w:rFonts w:ascii="Arial" w:hAnsi="Arial" w:eastAsia="Arial" w:cs="Arial"/>
            <w:b/>
            <w:bCs/>
            <w:color w:val="006BB6"/>
            <w:position w:val="4"/>
            <w:sz w:val="22"/>
            <w:szCs w:val="22"/>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III. Die Anträge begründe ich wie </w:t>
      </w:r>
      <w:r>
        <w:rPr>
          <w:rFonts w:ascii="Arial" w:hAnsi="Arial" w:eastAsia="Arial" w:cs="Arial"/>
          <w:color w:val="000000"/>
          <w:sz w:val="20"/>
          <w:szCs w:val="20"/>
        </w:rPr>
        <w:t xml:space="preserve">folgt:</w:t>
      </w:r>
      <w:bookmarkStart w:id="7957446" w:name="link14"/>
      <w:bookmarkEnd w:id="7957446"/>
      <w:hyperlink w:anchor="note14" w:history="1">
        <w:r>
          <w:rPr>
            <w:rFonts w:ascii="Arial" w:hAnsi="Arial" w:eastAsia="Arial" w:cs="Arial"/>
            <w:b/>
            <w:bCs/>
            <w:color w:val="006BB6"/>
            <w:position w:val="4"/>
            <w:sz w:val="22"/>
            <w:szCs w:val="22"/>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 [Betreffend die Zulässigkeit der Beschwerde (falls strittig):
Rechtzeitigkeit, Beschwerdelegitimation]</w:t>
      </w:r>
    </w:p>
    <w:p>
      <w:pPr>
        <w:widowControl w:val="on"/>
        <w:pBdr/>
        <w:spacing w:before="140" w:after="240" w:line="288" w:lineRule="auto"/>
        <w:ind w:left="0" w:right="0"/>
        <w:jc w:val="left"/>
      </w:pPr>
      <w:r>
        <w:rPr>
          <w:rFonts w:ascii="Arial" w:hAnsi="Arial" w:eastAsia="Arial" w:cs="Arial"/>
          <w:color w:val="000000"/>
          <w:sz w:val="20"/>
          <w:szCs w:val="20"/>
        </w:rPr>
        <w:t xml:space="preserve">… [Betreffend die Begründetheit der Beschwerde: Beschwerdegründe
bzw Begründung ieS]</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t xml:space="preserve">…</w:t>
      </w:r>
      <w:bookmarkStart w:id="1372400" w:name="link15"/>
      <w:bookmarkEnd w:id="1372400"/>
      <w:hyperlink w:anchor="note15" w:history="1">
        <w:r>
          <w:rPr>
            <w:rFonts w:ascii="Arial" w:hAnsi="Arial" w:eastAsia="Arial" w:cs="Arial"/>
            <w:b/>
            <w:bCs/>
            <w:color w:val="006BB6"/>
            <w:position w:val="4"/>
            <w:sz w:val="22"/>
            <w:szCs w:val="22"/>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Beschwerdeführer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407152" w:name="note1"/>
            <w:bookmarkEnd w:id="59407152"/>
            <w:bookmarkStart w:id="3926997480373" w:name="note1"/>
            <w:r>
              <w:rPr>
                <w:rFonts w:ascii="Arial" w:hAnsi="Arial" w:eastAsia="Arial" w:cs="Arial"/>
                <w:b/>
                <w:bCs/>
                <w:color w:val="000000"/>
                <w:position w:val="0"/>
                <w:sz w:val="20"/>
                <w:szCs w:val="20"/>
              </w:rPr>
              <w:t xml:space="preserve">[1]</w:t>
            </w:r>
            <w:bookmarkEnd w:id="392699748037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Einbringung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Bescheidbeschwerde ist (schriftlich) bei der Abgabenbehörde
einzubringen, die den angefochtenen Bescheid erlassen hat (=
belangte Behörde; § 249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der Beschwerde erfolgt entweder per Post, per
Fax, durch Abgabe in der Einlaufstelle der Behörde oder auch auf
FinanzOnline (Weitere Services/Bescheidänderung), nicht jedoch per
E-Mail. Es sind die diesbezüglichen auf der Internetseite der
Bescheid erlassenden Behörde enthaltenen Informationen sowie die
Rechtsmittelbelehrung des angefochtenen Bescheides zu beachten.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386029" w:name="note2"/>
            <w:bookmarkEnd w:id="84386029"/>
            <w:bookmarkStart w:id="2133660837224" w:name="note2"/>
            <w:r>
              <w:rPr>
                <w:rFonts w:ascii="Arial" w:hAnsi="Arial" w:eastAsia="Arial" w:cs="Arial"/>
                <w:b/>
                <w:bCs/>
                <w:color w:val="000000"/>
                <w:position w:val="0"/>
                <w:sz w:val="20"/>
                <w:szCs w:val="20"/>
              </w:rPr>
              <w:t xml:space="preserve">[2]</w:t>
            </w:r>
            <w:bookmarkEnd w:id="213366083722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Beschwerdeführer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Beschwerdeführer ist, wer durch den Bescheid in seinen Rechten
verletzt zu sein behauptet (Art 132 Abs 1 Z 1 B-VG)
bzw ist zur Einbringung einer Bescheidbeschwerde jeder befugt, an
den der den Gegenstand der Anfechtung bildende Bescheid ergangen
ist (= Bescheidadressat; § 246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Körperschaftsteuersubjekt ist die jeweilige Körperschaft
(§ 1 Abs 1 KStG), weshalb ein Bescheid iZm
Körperschaftsteuerverfahren an diese zu adressieren und auch nur
diese beschwerdelegitimiert ist (vgl VwGH 17.09.1992, 92/16/0113;
BFG 04.01.2017, RV/7106309/2016).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80 Abs 1 BAO haben die zur Vertretung
juristischer Personen berufenen (natürlichen) Personen alle
Pflichten zu erfüllen, die den von ihnen Vertretenen obliegen, und
sind befugt, die diesen zustehenden Rechte wahrzunehmen.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Hierunter fallen Vorstände einer AG, Geschäftsführer einer GmbH
und zur Vertretung nach außen Berufene eines Vereins (iSd § 3
Abs 2 Z 7 VereinsG). Die genannten (natürlichen) Personen
sind daher im Besonderen auch dazu befugt, namens der vertretenen
juristischen Person Bescheidbeschwerde zu erheben – aber eben nicht
im eigenen, sondern im fremden Namen.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750062" w:name="note3"/>
            <w:bookmarkEnd w:id="62750062"/>
            <w:bookmarkStart w:id="165969593364" w:name="note3"/>
            <w:r>
              <w:rPr>
                <w:rFonts w:ascii="Arial" w:hAnsi="Arial" w:eastAsia="Arial" w:cs="Arial"/>
                <w:b/>
                <w:bCs/>
                <w:color w:val="000000"/>
                <w:position w:val="0"/>
                <w:sz w:val="20"/>
                <w:szCs w:val="20"/>
              </w:rPr>
              <w:t xml:space="preserve">[3]</w:t>
            </w:r>
            <w:bookmarkEnd w:id="16596959336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den Verwaltungsgerichten besteht kein
Anwaltszwang. Selbstverständlich besteht aber die Möglichkeit, sich
vertreten zu lassen (§ 83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Berufsrechtliche Vorschriften (zB § 77 Abs 11 WTBG
2017, § 8 Abs 1 RAO, § 5 Abs 4a NO), wonach die
Berufung auf eine erteilte Bevollmächtigung deren urkundlichen
Nachweis ersetzt, gelten auch im Anwendungsbereich der BAO (RV 38
BlgNR XXIV. GP, 7 zum AbgVRefG; VwGH 28.10.2014, 2012/13/0102; VwGH
30.01.2025, Ra 2024/15/0031).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Berufung auf die Vollmacht gem § 10 Abs 1 letzter
Satz AVG (Anmerkung: Vergleichbar mit den obengenannten
Bestimmungen) kann etwa durch die Klausel „Vollmacht erteilt“ auf
einem Schriftsatz oder dadurch erfolgen, dass ein Rechtsmittel
„namens und auftrags meiner Mandantschaft“ eingebracht wird (VwGH
28.05.2013, 2012/05/0157 [VwSlg 18.637 A/2013]; VwGH 10.06.2024, Ra
2024/02/0115).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464971" w:name="note4"/>
            <w:bookmarkEnd w:id="73464971"/>
            <w:bookmarkStart w:id="6715028372785" w:name="note4"/>
            <w:r>
              <w:rPr>
                <w:rFonts w:ascii="Arial" w:hAnsi="Arial" w:eastAsia="Arial" w:cs="Arial"/>
                <w:b/>
                <w:bCs/>
                <w:color w:val="000000"/>
                <w:position w:val="0"/>
                <w:sz w:val="20"/>
                <w:szCs w:val="20"/>
              </w:rPr>
              <w:t xml:space="preserve">[4]</w:t>
            </w:r>
            <w:bookmarkEnd w:id="671502837278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Belangte Behörde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Belangte Behörde ist das bescheiderlassende Finanzamt.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Entscheidung über die Wiederaufnahme obliegt jenem
Finanzamt, das für die Erlassung des (das KöSt-Verfahren
abschließenden KöSt-)Bescheides zuständig war (§§ 305, 307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 kann nach Inkrafttreten der Finanz-Organisationsreform 2020
(am 1. Jänner 2021, vgl § 323b Abs 1 BAO idF 2. FORG
[BGBl I 2020/99]) entweder das Finanzamt Österreich (infolge
des Auffangtatbestands gem § 60 Abs 1 BAO) oder das
Finanzamt für Großbetriebe (zB infolge des Überschreitens der
Umsatz[erlös]schwelle gem § 61 Abs 1 Z 1 BAO) sein.
Beide Finanzämter sind bundesweit zuständig.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auch die belangte Behörde – neben dem
Beschwerdeführer – Partei des Verfahrens vor dem Verwaltungsgericht
ist (§ 265 Abs 5 BAO).</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80777" w:name="note5"/>
            <w:bookmarkEnd w:id="4380777"/>
            <w:bookmarkStart w:id="283685577902" w:name="note5"/>
            <w:r>
              <w:rPr>
                <w:rFonts w:ascii="Arial" w:hAnsi="Arial" w:eastAsia="Arial" w:cs="Arial"/>
                <w:b/>
                <w:bCs/>
                <w:color w:val="000000"/>
                <w:position w:val="0"/>
                <w:sz w:val="20"/>
                <w:szCs w:val="20"/>
              </w:rPr>
              <w:t xml:space="preserve">[5]</w:t>
            </w:r>
            <w:bookmarkEnd w:id="2836855779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verwaltungsgerichtlichen Verfahrens ist der
angefochtene Bescheid, welcher – abgesehen von der bereits
erfolgten Nennung der belangten Behörde – durch Angabe des
Bescheiddatums, des Datums der Zustellung und der Geschäftszahl
hinreichend zu konkretisieren ist (§ 250 Abs 1 lit a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Ziel der Bestimmung des § 250 Abs 1 lit a BAO ist
es, das VwG in die Lage zu versetzen, über die Beschwerde eine
Entscheidung zu treffen, sodass es für die Bezeichnung des
Bescheides genügt, dass aus dem gesamten Inhalt des Rechtsmittels
hervorgeht, wogegen es sich richtet, und das VwG aufgrund des
Beschwerdevorbringens nicht zweifeln kann, welcher Bescheid
angefochten ist. Entspricht eine Beschwerde nicht diesen
Erfordernissen, so hat die Abgabenbehörde einen
Verbesserungsauftrag zu erteilen (VwGH 15.04.2025, Fr
2025/15/0007).</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1903733" w:name="note6"/>
            <w:bookmarkEnd w:id="51903733"/>
            <w:bookmarkStart w:id="98379015284" w:name="note6"/>
            <w:r>
              <w:rPr>
                <w:rFonts w:ascii="Arial" w:hAnsi="Arial" w:eastAsia="Arial" w:cs="Arial"/>
                <w:b/>
                <w:bCs/>
                <w:color w:val="000000"/>
                <w:position w:val="0"/>
                <w:sz w:val="20"/>
                <w:szCs w:val="20"/>
              </w:rPr>
              <w:t xml:space="preserve">[6]</w:t>
            </w:r>
            <w:bookmarkEnd w:id="9837901528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Einfache Ausfertigung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den Verwaltungsgerichten sind Schriftsätze samt Beilagen nur
in einfacher Ausfertigung erforderlich.</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172439" w:name="note7"/>
            <w:bookmarkEnd w:id="87172439"/>
            <w:bookmarkStart w:id="3290853246581" w:name="note7"/>
            <w:r>
              <w:rPr>
                <w:rFonts w:ascii="Arial" w:hAnsi="Arial" w:eastAsia="Arial" w:cs="Arial"/>
                <w:b/>
                <w:bCs/>
                <w:color w:val="000000"/>
                <w:position w:val="0"/>
                <w:sz w:val="20"/>
                <w:szCs w:val="20"/>
              </w:rPr>
              <w:t xml:space="preserve">[7]</w:t>
            </w:r>
            <w:bookmarkEnd w:id="329085324658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Beilagen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die Anzahl allfälliger Beilagen anzugeben. Der
angefochtene Bescheid muss der Beschwerde nicht beigelegt
werden.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809623" w:name="note8"/>
            <w:bookmarkEnd w:id="80809623"/>
            <w:bookmarkStart w:id="9729986813516" w:name="note8"/>
            <w:r>
              <w:rPr>
                <w:rFonts w:ascii="Arial" w:hAnsi="Arial" w:eastAsia="Arial" w:cs="Arial"/>
                <w:b/>
                <w:bCs/>
                <w:color w:val="000000"/>
                <w:position w:val="0"/>
                <w:sz w:val="20"/>
                <w:szCs w:val="20"/>
              </w:rPr>
              <w:t xml:space="preserve">[8]</w:t>
            </w:r>
            <w:bookmarkEnd w:id="972998681351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Beschwerdepunkte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 anders als nach § 28 Abs 1 Z 4 VwGG –
nicht ausdrücklich gesetzlich gefordert, können an dieser Stelle
die Beschwerdepunkte angeführt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sich Rechtsverletzungen (iSd Art 132
Abs 1 Z 1 B-VG) nur auf subjektiv-öffentliche Rechte –
einfachgesetzlich oder verfassungsgesetzlich gewährleistet –
beziehen können.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303 Abs 1 BAO
gewährleisteten Rechtes auf Unterbleiben der Wiederaufnahme. (Vgl
hierzu VwGH 27.03.2003, 99/15/0179)</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130890" w:name="note9"/>
            <w:bookmarkEnd w:id="48130890"/>
            <w:bookmarkStart w:id="1166669695432" w:name="note9"/>
            <w:r>
              <w:rPr>
                <w:rFonts w:ascii="Arial" w:hAnsi="Arial" w:eastAsia="Arial" w:cs="Arial"/>
                <w:b/>
                <w:bCs/>
                <w:color w:val="000000"/>
                <w:position w:val="0"/>
                <w:sz w:val="20"/>
                <w:szCs w:val="20"/>
              </w:rPr>
              <w:t xml:space="preserve">[9]</w:t>
            </w:r>
            <w:bookmarkEnd w:id="116666969543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Sachverhalt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Wenngleich die Schilderung des Sachverhaltes gesetzlich nicht
vorgeschrieben ist, wird es zweckmäßig sein, dem Gericht den
Sachverhalt aus der Perspektive des Beschwerdeführers
näherzubringen.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Weder im Verfahren vor Erlassung der Beschwerdevorentscheidung
durch die Abgabenbehörde noch im verwaltungsgerichtlichen
Beschwerdeverfahren besteht ein Neuerungsverbot (§ 270 BAO;
VwGH 20.11.2024, Ra 2024/13/0068). Es können daher auch neue
Tatsachen (erstmals) vorgebracht werden. Entsprechend hierzu können
auch neue Beweisanbote erfolgen bzw solche Beweisanbote wiederholt
werden, die im vorangegangen Verwaltungsverfahren unberücksichtigt
geblieben sind. Ein Beweisantrag hat das Beweisthema (die zu
beweisende Tatsache) und ein Beweismittel (zB Urkunden-, Zeugen-
oder Sachverständigenbeweis) zu enthalten.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dem AbgÄG 2022 ist jedoch die die Partei treffende
Verfahrensförderungspflicht zu beachten (vgl § 270 Abs 2
BAO): Jede Partei hat ihr Vorbringen so rechtzeitig und vollständig
zu erstatten, dass das Verfahren möglichst rasch durchgeführt
werden kann.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186136" w:name="note10"/>
            <w:bookmarkEnd w:id="89186136"/>
            <w:bookmarkStart w:id="8828452038341" w:name="note10"/>
            <w:r>
              <w:rPr>
                <w:rFonts w:ascii="Arial" w:hAnsi="Arial" w:eastAsia="Arial" w:cs="Arial"/>
                <w:b/>
                <w:bCs/>
                <w:color w:val="000000"/>
                <w:position w:val="0"/>
                <w:sz w:val="20"/>
                <w:szCs w:val="20"/>
              </w:rPr>
              <w:t xml:space="preserve">[10]</w:t>
            </w:r>
            <w:bookmarkEnd w:id="882845203834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Beschwerdebegehren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muss ein bestimmtes Begehren enthalten, dh die
Erklärungen „in welchen Punkten der Bescheid angefochten wird“ und
„welche Änderungen beantragt werden“ (§ 250 Abs 1
lit b und c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Wiederaufnahmebescheiden nach § 303 BAO ist § 250
Abs 1 lit b und c BAO insoweit inhaltsleer, als die
Anfechtung nur die Aufhebung des bekämpften Bescheides bezwecken
kann, zumal eine Änderung eines solchen Bescheides nicht in
Betracht kommt (vgl VwGH 15.11.2005, 2004/14/0108).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Prinzipiell hat das Verwaltungsgericht in der Sache selbst zu
entscheiden (reformatorische oder meritorische Entscheidung;
§ 279 Abs 1 BAO). Die Aufhebung des angefochtenen
Bescheides mit anschließender Zurückverweisung an die belangte
Behörde (kassatorische Entscheidung) erfolgt nur im Ausnahmefall
(§ 278 BAO).</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594099" w:name="note11"/>
            <w:bookmarkEnd w:id="82594099"/>
            <w:bookmarkStart w:id="5269525899073" w:name="note11"/>
            <w:r>
              <w:rPr>
                <w:rFonts w:ascii="Arial" w:hAnsi="Arial" w:eastAsia="Arial" w:cs="Arial"/>
                <w:b/>
                <w:bCs/>
                <w:color w:val="000000"/>
                <w:position w:val="0"/>
                <w:sz w:val="20"/>
                <w:szCs w:val="20"/>
              </w:rPr>
              <w:t xml:space="preserve">[11]</w:t>
            </w:r>
            <w:bookmarkEnd w:id="526952589907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Entscheidung durch Senat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entscheidet ein Einzelrichter. Es kann jedoch die
Entscheidung durch einen Senat (§§ 272 bis 277 BAO) beantragt
werden.</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488098" w:name="note12"/>
            <w:bookmarkEnd w:id="67488098"/>
            <w:bookmarkStart w:id="4762754243164" w:name="note12"/>
            <w:r>
              <w:rPr>
                <w:rFonts w:ascii="Arial" w:hAnsi="Arial" w:eastAsia="Arial" w:cs="Arial"/>
                <w:b/>
                <w:bCs/>
                <w:color w:val="000000"/>
                <w:position w:val="0"/>
                <w:sz w:val="20"/>
                <w:szCs w:val="20"/>
              </w:rPr>
              <w:t xml:space="preserve">[12]</w:t>
            </w:r>
            <w:bookmarkEnd w:id="476275424316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Öffentliche mündliche Verhandlung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anderem über Antrag des Beschwerdeführers findet eine
mündliche Verhandlung statt, die idR auch öffentlich ist
(§§ 274, 275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nach § 24 Abs 4 VwGVG vergleichbare Möglichkeit
des Absehens von der Durchführung einer mündlichen Verhandlung,
ungeachtet eines diesbezüglichen Parteienantrags, kennt § 274
BAO nicht (VwGH 09.02.2022, Ra 2021/13/0137; VwGH 26.03.2025, Ra
2023/13/0022).</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820629" w:name="note13"/>
            <w:bookmarkEnd w:id="55820629"/>
            <w:bookmarkStart w:id="2034094658441" w:name="note13"/>
            <w:r>
              <w:rPr>
                <w:rFonts w:ascii="Arial" w:hAnsi="Arial" w:eastAsia="Arial" w:cs="Arial"/>
                <w:b/>
                <w:bCs/>
                <w:color w:val="000000"/>
                <w:position w:val="0"/>
                <w:sz w:val="20"/>
                <w:szCs w:val="20"/>
              </w:rPr>
              <w:t xml:space="preserve">[13]</w:t>
            </w:r>
            <w:bookmarkEnd w:id="203409465844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Verfahrenshilfe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Anfang 2017 ist dem Beschwerdeführer gem § 292 BAO auf
Antrag Verfahrenshilfe zu bewilligen, soweit</w:t>
            </w:r>
          </w:p>
          <w:p>
            <w:pPr>
              <w:numPr>
                <w:ilvl w:val="0"/>
                <w:numId w:val="61211956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 entscheidende Rechtsfragen besondere Schwierigkeiten
rechtlicher Art (zB überdurchschnittlich schwierige, durch ständige
Judikatur noch nicht geklärte Rechtsfragen) aufweisen und</w:t>
            </w:r>
          </w:p>
          <w:p>
            <w:pPr>
              <w:numPr>
                <w:ilvl w:val="0"/>
                <w:numId w:val="61211956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Partei außerstande ist, die Kosten der Führung des
Verfahrens ohne Beeinträchtigung des notwendigen Unterhalts (das
ist derjenige Unterhalt, den die Partei für sich und ihre Familie,
für deren Unterhalt sie zu sorgen hat, zu einer einfachen
Lebensführung benötigt) zu bestreiten und</w:t>
            </w:r>
          </w:p>
          <w:p>
            <w:pPr>
              <w:numPr>
                <w:ilvl w:val="0"/>
                <w:numId w:val="61211956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(dh, sich die Partei der Unrichtigkeit
ihres Standpunktes bewusst ist oder bewusst sein muss) oder
aussichtslos (insbesondere bei Unschlüssigkeit des Begehrens oder
bei unbehebbarem Beweisnotstand)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Einer juristischen Person ist die Verfahrenshilfe insoweit zu
bewilligen, als</w:t>
            </w:r>
          </w:p>
          <w:p>
            <w:pPr>
              <w:numPr>
                <w:ilvl w:val="0"/>
                <w:numId w:val="76058528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zur Führung des Verfahrens erforderlichen Mittel weder von
ihr noch von den an der Führung des Verfahrens wirtschaftlich
Beteiligten (das ist eine Person, auf deren Vermögenssphäre sich
der Ausgang des Beschwerdeverfahrens nicht ganz unerheblich
auswirkt und bei der es – auch aus diesem Grund – als zumutbar
angesehen werden kann, von dieser Person eine Finanzierung der
Verfahrenskosten zu verlangen, zB GmbH-Gesellschafter [BFG
28.03.2017, VH/7100006/2017]) aufgebracht werden können und</w:t>
            </w:r>
          </w:p>
          <w:p>
            <w:pPr>
              <w:numPr>
                <w:ilvl w:val="0"/>
                <w:numId w:val="76058528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oder aussichtslos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Verfahrenshilfe umfasst vor allem die Befreiung von anfallenden
Gebühren und die unentgeltliche Beigebung eines Rechtsanwalts oder
Steuerberaters (je nach Wahl des Antragstellers).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Bewilligung der Verfahrenshilfe hat den in
§ 292 Abs 8 BAO normierten Inhaltserfordernissen zu
entsprechen und ist bis zur Vorlage der Bescheidbeschwerde bei der
Abgabenbehörde, ab Vorlage beim Verwaltungsgericht einzubringen.
Über ihn entscheidet das Verwaltungsgericht. Wünschen der Partei
über die Auswahl der Person des Wirtschaftstreuhänders oder
Rechtsanwaltes ist nach Möglichkeit zu entsprechen.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Prüfung der Frage, ob die Kosten der Führung des Verfahrens
ohne Beeinträchtigung des notwendigen Unterhalts aufgebracht werden
können, ist eine Schätzung der auf Seiten des Antragstellers
voraussichtlich anfallenden Kosten unerlässlich, wobei (…) ein
durchschnittlicher Verfahrensablauf anzunehmen ist (VwGH
25.04.2019, Ra 2017/13/0061).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Antragsformular samt Vermögensbekenntnis:</w:t>
            </w:r>
            <w:hyperlink r:id="rId70816ab663cb60a69" w:history="1">
              <w:r>
                <w:rPr>
                  <w:rFonts w:ascii="Arial" w:hAnsi="Arial" w:eastAsia="Arial" w:cs="Arial"/>
                  <w:color w:val="006BB6"/>
                  <w:position w:val="0"/>
                  <w:sz w:val="20"/>
                  <w:szCs w:val="20"/>
                </w:rPr>
                <w:br/>
                <w:t xml:space="preserve">https://www.bfg.gv.at/verfahren.html</w:t>
              </w:r>
            </w:hyperlink>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050123" w:name="note14"/>
            <w:bookmarkEnd w:id="23050123"/>
            <w:bookmarkStart w:id="2745386210477" w:name="note14"/>
            <w:r>
              <w:rPr>
                <w:rFonts w:ascii="Arial" w:hAnsi="Arial" w:eastAsia="Arial" w:cs="Arial"/>
                <w:b/>
                <w:bCs/>
                <w:color w:val="000000"/>
                <w:position w:val="0"/>
                <w:sz w:val="20"/>
                <w:szCs w:val="20"/>
              </w:rPr>
              <w:t xml:space="preserve">[14]</w:t>
            </w:r>
            <w:bookmarkEnd w:id="274538621047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Beschwerdegründe – Beispiele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sind die Beschwerdegründe anzugeben (§ 250 Abs 1
lit d BAO). Zum insofern vergleichbaren § 9 Abs 1
Z 3 VwGVG wurde ausgesprochen, dass darunter die Begründung
der Rechtswidrigkeit des angefochtenen Verwaltungsaktes infolge
Verfahrensfehler, materieller Rechtswidrigkeit oder Unzuständigkeit
zu verstehen ist (VwGH 13.09.2017, Ra 2016/12/0053; VwGH
20.06.2024, Ra 2022/04/0152).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Begründung iSd § 250 Abs 1 lit d BAO soll dem
BFG aufzeigen, aus welchen Gründen der Beschwerdeführer sein
Begehren für gerechtfertigt bzw erfolgversprechend hält. Die
Begründung soll aufzeigen, was er anstrebt und womit er seinen
Standpunkt vertreten zu können glaubt (VwGH 27.06.2013,
2010/15/0213).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Von einem gänzlichen Fehlen einer Begründung ist jedoch erst
dann auszugehen, wenn eine Beschwerde keine Ansatzpunkte dafür
erkennen lässt, worin die Unrichtigkeit des bekämpften Bescheides
gelegen sein soll. Dem Fehlen einer Begründung ist nicht
gleichzuhalten, dass eine Begründung allenfalls unschlüssig oder
inhaltlich unzutreffend ist (VwGH 31.05.2011, 2008/15/0331).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Beispiele für (tatsächliche, vermeintliche und mögliche)
Rechtsverletzungen und ihre Begründungen: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Allgemeines</w:t>
            </w:r>
            <w:r>
              <w:rPr>
                <w:rFonts w:ascii="Arial" w:hAnsi="Arial" w:eastAsia="Arial" w:cs="Arial"/>
                <w:color w:val="000000"/>
                <w:position w:val="0"/>
                <w:sz w:val="20"/>
                <w:szCs w:val="20"/>
              </w:rPr>
              <w:br/>
              <w:t xml:space="preserve">Aufgabe des BFG bei Entscheidungen über ein Rechtsmittel gegen die
amtswegige Wiederaufnahme durch ein Finanzamt ist es zu prüfen, ob
dieses Verfahren aus den vom Finanzamt gebrauchten Gründen wieder
aufgenommen werden durfte, nicht jedoch, ob die Wiederaufnahme auch
aus anderen Wiederaufnahmegründen zulässig gewesen wäre (VwGH
19.10.2016, 2014/15/0058; VwGH 09.07.2024, Ra 2023/13/0142).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Liegt der vom Finanzamt angenommene Wiederaufnahmegrund nicht
vor oder hat das Finanzamt die Wiederaufnahme tatsächlich auf
keinen Wiederaufnahmegrund gestützt, muss das BFG den
Wiederaufnahmebescheid des Finanzamtes ersatzlos beheben (VwGH
19.10.2016, 2014/15/0058; VwGH 09.07.2024, Ra 2023/13/0142).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BFG hat, sofern die Bescheidausführungen des
wiederaufnehmenden Finanzamtes mangelhaft sind, ausgehend von einem
vom Finanzamt herangezogenen Wiederaufnahmegrund, diesen zu prüfen
und zu würdigen und gegebenenfalls erforderliche Ergänzungen
vorzunehmen. Die Ergänzung einer mangelhaften Begründung der
aufgrund der Feststellungen einer abgabenbehördlichen Prüfung
ergangenen Wiederaufnahmebescheide in Richtung der tatsächlich vom
Finanzamt herangezogenen Wiederaufnahmegrundlagen stellt kein
unzulässiges Auswechseln von Wiederaufnahmegründen dar (VwGH
12.03.2025, Ra 2023/15/0085).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Frage der Uneinbringlichkeit stellt kein Kriterium für die
Wiederaufnahme des Ver-fahrens dar (VwGH 29.02.2024, Ra
2022/13/0005).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Finanzamt stützte in concreto die Wiederaufnahme auf den
Umstand, dass ausländische Einkünfte aus Kapitalvermögen nicht
erklärt worden waren und für das Finanzamt erst aufgrund der
Selbstanzeige neu hervorgekommen waren. Auch wenn die
Wiederaufnahme (im Allgemeinen) nur vor Eintritt der Verjährung
zulässig ist (§ 304 BAO), ist es für die Umschreibung (und
Abgrenzung) des Tatsachenkomplexes nicht erforderlich, dass
ausgeführt wird, betreffend diese Einkünfte sei zum Zeitpunkt der
Wiederaufnahme noch nicht Verjährung eingetreten (VwGH 09.12.2021,
Ra 2021/13/0040).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Rechtskraft</w:t>
            </w:r>
            <w:r>
              <w:rPr>
                <w:rFonts w:ascii="Arial" w:hAnsi="Arial" w:eastAsia="Arial" w:cs="Arial"/>
                <w:color w:val="000000"/>
                <w:position w:val="0"/>
                <w:sz w:val="20"/>
                <w:szCs w:val="20"/>
              </w:rPr>
              <w:br/>
              <w:t xml:space="preserve">Unter materieller Rechtskraft wird die
</w:t>
            </w:r>
            <w:r>
              <w:rPr>
                <w:rFonts w:ascii="Arial" w:hAnsi="Arial" w:eastAsia="Arial" w:cs="Arial"/>
                <w:b/>
                <w:bCs/>
                <w:color w:val="000000"/>
                <w:position w:val="0"/>
                <w:sz w:val="20"/>
                <w:szCs w:val="20"/>
              </w:rPr>
              <w:t xml:space="preserve">Unwiderrufbarkeit</w:t>
            </w:r>
            <w:r>
              <w:rPr>
                <w:rFonts w:ascii="Arial" w:hAnsi="Arial" w:eastAsia="Arial" w:cs="Arial"/>
                <w:color w:val="000000"/>
                <w:position w:val="0"/>
                <w:sz w:val="20"/>
                <w:szCs w:val="20"/>
              </w:rPr>
              <w:t xml:space="preserve"> und die
</w:t>
            </w:r>
            <w:r>
              <w:rPr>
                <w:rFonts w:ascii="Arial" w:hAnsi="Arial" w:eastAsia="Arial" w:cs="Arial"/>
                <w:b/>
                <w:bCs/>
                <w:color w:val="000000"/>
                <w:position w:val="0"/>
                <w:sz w:val="20"/>
                <w:szCs w:val="20"/>
              </w:rPr>
              <w:t xml:space="preserve">Unwiederholbarkeit</w:t>
            </w:r>
            <w:r>
              <w:rPr>
                <w:rFonts w:ascii="Arial" w:hAnsi="Arial" w:eastAsia="Arial" w:cs="Arial"/>
                <w:color w:val="000000"/>
                <w:position w:val="0"/>
                <w:sz w:val="20"/>
                <w:szCs w:val="20"/>
              </w:rPr>
              <w:t xml:space="preserve"> des Bescheids verstanden.
Ergeht in derselben Sache, die unwiderrufbar entschieden ist, eine
neue Entscheidung, so ist diese inhaltlich rechtswidrig. Der
Abgabenbehörde ist es daher verwehrt, nach einer einmal erfolgten
rechtskräftigen Festsetzung einer Abgabe für denselben Zeitraum
eine neuerliche Festsetzung der Abgabe gegenüber demselben
Abgabenschuldner für denselben Abgabentatbestand vorzunehmen (VwGH
19.12.2017, Ra 2016/16/0035).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neuerliche Entscheidung ist allerdings dann zulässig, wenn
eine wesentliche Änderung des Sachverhaltes oder eine Änderung der
Rechtsvorschriften, die für die frühere Entscheidung tragend waren,
eingetreten ist (VwGH 17.04.2008, 2007/15/0278).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eine Entscheidung betreffend Wiederaufnahme wird
rechtskräftig und steht – bei unveränderter Sach- und Rechtslage –
einer neuerlichen Entscheidung über denselben Wiederaufnahmegrund
entgegen. Insoweit wird die Identität der Sache durch den
Tatsachenkomplex abgegrenzt (VwGH 26.11.2015, Ro 2014/15/0035).</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Wiederaufnahmsgründe</w:t>
            </w:r>
            <w:r>
              <w:rPr>
                <w:rFonts w:ascii="Arial" w:hAnsi="Arial" w:eastAsia="Arial" w:cs="Arial"/>
                <w:color w:val="000000"/>
                <w:position w:val="0"/>
                <w:sz w:val="20"/>
                <w:szCs w:val="20"/>
              </w:rPr>
              <w:br/>
              <w:t xml:space="preserve">Die gerichtlich strafbaren Handlungen (§ 303 Abs 1
lit a BAO) müssen nicht durch ein strafgerichtliches Urteil
festgestellt sein, aber die objektive und subjektive Tatseite einer
gerichtlich strafbaren Tat erfüllen. Die Auffassung, objektiv
unrichtige Angaben genügten, ist daher unrichtig. Die Beschwerde
behauptet damit nicht, dass die objektive und subjektive Tatseite
der §§ 293, 302 StGB (Fälschung eines Beweismittels,
Amtsmissbrauch) vorliegen (VwGH 28.10.2009, 2007/15/0070).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Wiederaufnahmsgründe iSd § 303 Abs 1 lit b BAO
sind nur im Zeitpunkt der Bescheiderlassung existente Tatsachen,
die später hervorkommen (nova reperta). Später entstandene Umstände
(nova producta) sind keine Wiederaufnahmsgründe (VwGH 18.09.2002,
99/17/0261).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Tatsachen iSd § 303 Abs 1 lit b BAO sind
ausschließlich mit dem Sachverhalt des abgeschlossenen Verfahrens
zusammenhängende tatsächliche Umstände, also Sachverhaltselemente,
die bei einer entsprechenden Berücksichtigung allein oder iVm dem
sonstigen Ergebnis des Verfahrens zu einem anderen Ergebnis als vom
rechtskräftigen Bescheid zum Ausdruck gebracht geführt hätten, wie
etwa Zustände, Vorgänge, Beziehungen und Eigenschaften (VwGH
24.10.2019, Ra 2018/15/0097; VwGH 28.05.2025, Ra 2025/13/0050).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in einem Betriebsprüfungsbericht gegebene Hinweis auf
einzelne Textziffern lässt im Regelfall den Schluss zu, dass das
Finanzamt die Wiederaufnahme auf den Neuerungstatbestand
(§ 303 Abs 1 lit b BAO) gestützt hat und die in
diesen Textziffern getroffenen Prüfungsfeststellungen jenen
Tatsachenkomplex bilden, der nach Ansicht des Finanzamtes im Zuge
der Prüfung neu hervorgekommen ist (VwGH 09.07.2024, Ra
2023/13/0142).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Umstand, dass es sich bei den als Beraterhonorare
deklarierten Beträgen nicht um Einkünfte für Leistungen der
Rechtsvorgängerin der Körperschaft gehandelt hat, stellt konkret
eine Tatsache dar, deren Kenntnis einen im Spruch anders lautenden
Bescheid herbeigeführt hätte. Voraussetzung für eine Wiederaufnahme
(konkret auf Antrag) wäre, dass es sich um eine für die
Körperschaft neu hervorgekommene Tatsache handelt. Dass das
Finanzamt bei Erlassung des ursprünglichen Bescheides andere
bereits bekannte Tatsachen nicht bzw rechtlich unzutreffend
gewürdigt und schon seinerzeit einen rechtswidrigen Bescheid
erlassen hat, ändert nichts an der Entscheidungswesentlichkeit der
neu hervorgekommenen Tatsache (VwGH 18.12.2017, Ra
2016/15/0071).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Sollte ein Sachverständiger Tatsachen, die im vorangegangenen
Verfahren bereits bestanden, erst später feststellen, so könnten
solche neuen Befundergebnisse (als neu hervorgekommene Tatsachen)
einen Grund für die Wiederaufnahme darstellen. Anderes gilt aber
für die vom Sachverständigen gezogenen Schlussfolgerungen. Neue
Befundergebnisse können demnach einen Wiederaufnahmegrund
darstellen, geänderte Schlussfolgerungen aus den bisherigen
Befunden hingegen nicht (VwGH 31.01.2024, Ra 2023/13/0025).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Dass eine form- und fristgerecht erstattete Schenkungsmeldung
nach § 121a BAO dem Neuhervorkommen der darin offenbarten
Tatsachen im jeweiligen Abgabenverfahren und damit der
Wiederaufnahme (im Allgemeinen) entgegenstehen solle, kann nicht
angenommen werden (VwGH 03.09.2024, Ra 2023/13/0118).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nach Abschluss des wiederaufzunehmenden Verfahrens
erfolgenden Beseitigung der Besteuerung im Ausland handelt es sich
um neu entstandene, nicht aber um neu hervorgekommene Tatsachen iSd
§ 303 Abs 1 lit b BAO, weshalb der
Neuerungstatbestand in einem solchen Fall nicht zur Durchbrechung
der Rechtskraft des inländischen Einkommensteuerbescheides
herangezogen werden kann. Der nachträgliche Wegfall der Besteuerung
in Deutschland stellt ein rückwirkendes Ereignis iSd § 295a
BAO und keinen geeigneten Wiederaufnahmegrund dar (VwGH 23.02.2017,
Ro 2014/15/0050).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Situation, in der zunächst nur eine Verdachtslage besteht
und wozu später der Nachweis eines bestimmten relevanten
Sachverhaltes erfolgt, stellt das Hervorkommen einer Neuerung dar
(VwGH 24.09.2009, 2009/16/0080).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Hervorkommen einer Entscheidung des EuGH vermittelt weder
eine Berechtigung zur Wiederaufnahme von (rechtskräftig
abgeschlossenen) Verfahren nach dem Neuerungstatbestand noch nach
dem Vorfragentatbestand (VwGH 22.12.2011, 2008/16/0012; VwGH
12.04.2021, Ra 2020/11/0070).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Erstellung von auf bereits vorhandenen und bekannten Belegen
beruhenden Buchhaltungen, Jahresabschlüssen,
Einnahmen-Ausgaben-Rechnungen sowie Steuererklärungen bewirkt nicht
das Hervorkommen neuer Beweismittel iSd § 303 BAO (VwGH
24.02.2021, Ra 2020/15/0105).</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Kenntnis der Wiederaufnahmsgründe</w:t>
            </w:r>
            <w:r>
              <w:rPr>
                <w:rFonts w:ascii="Arial" w:hAnsi="Arial" w:eastAsia="Arial" w:cs="Arial"/>
                <w:color w:val="000000"/>
                <w:position w:val="0"/>
                <w:sz w:val="20"/>
                <w:szCs w:val="20"/>
              </w:rPr>
              <w:br/>
              <w:t xml:space="preserve">Eine Wiederaufnahme ist dann ausgeschlossen, wenn der
Abgabenbehörde in dem wiederaufzunehmenden Verfahren der
Sachverhalt so vollständig bekannt gewesen ist, dass sie schon in
diesem Verfahren bei richtiger rechtlicher Subsumtion zu der
nunmehr im wiederaufzunehmenden Verfahren erlassenen Entscheidung
hätte gelangen können (VwGH 23.11.2016, Ra 2014/15/0006; VwGH
24.10.2019, Ra 2018/15/0097).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Andererseits ist es für die amtswegige Wiederaufnahme
unmaßgeblich, ob die neuen Tatsachen im Erstverfahren (konkret
durch Unterbleiben näherer Nachfragen) verschuldet oder
unverschuldet nicht berücksichtigt worden sind (VwGH 23.11.2016, Ra
2014/15/0006).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Neuhervorkommen von Tatsachen und Beweismitteln bezieht sich
auf den Wissensstand (auf Grund der Abgabenerklärungen und ihrer
Beilagen) des jeweiligen Veranlagungsjahres. (…) Dass die
Prüfungsabteilung in einem ein anderes Prüfungsjahr betreffenden
Prüfungsverfahren oder im Abgabenverfahren eines anderen
Steuerpflichtigen von den maßgeblichen Tatsachen Kenntnis hatte,
steht der Wiederaufnahme nicht entgegen (VwGH 13.11.2019, Ra
2019/13/0102; VwGH 22.02.2024, Ro 2022/13/0009).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ein Prüfer den konkret relevanten Sachverhalt vor Erlassung
des Bescheides der abgabenfestsetzenden Stelle
(Veranlagungsabteilung) nicht mitgeteilt hatte, so steht diese
Kenntnis des Prüfers der Wiederaufnahme nicht entgegen (VwGH
13.10.2021, Ra 2021/13/0127).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Beurteilung des Wissensstandes der Behörde ist es nicht
relevant, ob ein Verfahren zum frühest möglichen Zeitpunkt
wiederaufgenommen wird (VwGH 14.08.2024, Ra 2023/13/0159).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Antrag auf Wiederaufnahme hat – bei Geltendmachung neu
hervorgekommener Tatsachen – insbesondere die Behauptung zu
enthalten, dass Tatsachen oder Beweismittel „neu hervorgekommen
sind“. Aus dem insoweit klaren Wortlaut ist somit abzuleiten, dass
bei einem Antrag auf Wiederaufnahme des Verfahrens das
Neuhervorkommen von Tatsachen aus der Sicht des Antragstellers zu
beurteilen ist. Tatsachen, die der Wiederaufnahmewerberin schon
immer bekannt gewesen sind, deren steuerliche Berücksichtigung sie
aber unterlassen hat, eröffnen ihr keinen Antrag auf
Wiederaufnahme. Die Kenntnis eines Rechtsvertreters ist dabei der
antragstellenden Person zuzurechnen. Geht es um den
Wiederaufnahmeantrag einer Personenvereinigung
(Vermietungsgemeinschaft) betreffend das Feststellungsverfahren ist
auch der Kenntnisstand des Vertreters der Personenvereinigung
einzubeziehen (VwGH 29.09.2022, Ro 2022/15/0011).</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Ermessensübung und Geringfügigkeit</w:t>
            </w:r>
            <w:r>
              <w:rPr>
                <w:rFonts w:ascii="Arial" w:hAnsi="Arial" w:eastAsia="Arial" w:cs="Arial"/>
                <w:color w:val="000000"/>
                <w:position w:val="0"/>
                <w:sz w:val="20"/>
                <w:szCs w:val="20"/>
              </w:rPr>
              <w:br/>
              <w:t xml:space="preserve">Ein behördliches Verschulden an der Nichtfeststellung der
maßgeblichen Tatsachen bzw Beweismittel im Erstverfahren schließt
die Wiederaufnahme von Amts wegen nicht aus, ist aber unter
Umständen bei der Ermessensübung zu berücksichtigen (VwGH
30.03.2006, 2006/15/0016).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Interessensabwägung iSd § 20 BAO verbietet bei
Geringfügigkeit der neu hervorgekommenen Tatsachen in der Regel den
Gebrauch der Wiederaufnahmemöglichkeit. Die Geringfügigkeit ist
dabei anhand der steuerlichen Auswirkungen der konkreten
Wiederaufnahmegründe und nicht aufgrund der steuerlichen
Gesamtauswirkungen zu beurteilen, die infolge Änderungen aufgrund
anderer rechtlicher Beurteilungen im Sachbescheid vorzunehmen
wären. Nur im Falle der Geringfügigkeit neu hervorgekommener
Tatsachen hat die Behörde Verhältnismäßigkeitsüberlegungen –
insbesondere auch in Bezug auf das Ergebnis der neuen
Sachentscheidung – in ihre Ermessensentscheidung einzubeziehen
(VwGH 24.04.2014, 2010/15/0159).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Betragen die steuerlichen Auswirkungen (Beseitigung der
Verkürzung) allein in Bezug auf die Körperschaftsteuer
EUR 1.260,–, ist dies weder absolut noch relativ geringfügig.
Weiters sind bei mehreren Verfahren die steuerlichen Auswirkungen
nicht je Verfahren, sondern insgesamt zu berücksichtigen (VwGH
24.04.2014, 2010/15/0159).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vorliegenden Fall haben die steuerlichen Auswirkungen der
konkreten Wiederaufnahmegründe EUR 746,– betragen. Der Betrag
dieser Änderung ist nicht mehr als (absolut) geringfügig anzusehen
(VwGH 30.06.2021, Ra 2019/15/0125).</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Wiederaufnahmebescheid und neuer
Sachbescheid</w:t>
            </w:r>
            <w:r>
              <w:rPr>
                <w:rFonts w:ascii="Arial" w:hAnsi="Arial" w:eastAsia="Arial" w:cs="Arial"/>
                <w:color w:val="000000"/>
                <w:position w:val="0"/>
                <w:sz w:val="20"/>
                <w:szCs w:val="20"/>
              </w:rPr>
              <w:br/>
              <w:t xml:space="preserve">Abgabepflichtigen steht es frei, nur gegen den
Wiederaufnahmebescheid, nur gegen den neuen Sachbescheid oder aber
gegen den Wiederaufnahmebescheid und den neuen Sachbescheid
Beschwerde zu erheben (VwGH 30.01.2025, Ra 2023/15/0109).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Fall der Erhebung einer Beschwerde sowohl gegen die
Wiederaufnahmebescheide als auch die Sachbescheide, ist zunächst
über die Beschwerde gegen die Wiederaufnahmebescheide zu
entscheiden. Die Entscheidung über beide Beschwerden kann, aber
muss nicht in einem Erkenntnis verbunden werden (VwGH 14.01.2025,
Ra 2023/15/0081).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die Beseitigung des Wiederaufnahmebescheides wird wegen
des unlösbaren rechtlichen Zusammenhanges auch der im
wiederaufgenommenen Verfahren erlassene Sachbescheid seiner
Wirksamkeit beraubt. (…) Wird jener aufgehoben, ist auch der mit
ihm verbunden ergangene Sachbescheid aus dem Rechtsbestand
beseitigt (VwGH 05.09.2012, 2012/15/0062 [VwSlg 8745 F/2012]; VwGH
03.09.2024, Ra 2023/13/0162).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Aufhebung der geänderten Sachbescheide führt bei Vorliegen
rechtskräftiger Wiederaufnahmebescheide nicht zu einem
Wiederaufleben der früheren Sachbescheide (VwGH 15.09.2016, Ro
2014/15/0034).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Schließlich sind auch allfällige weitere Anträge zu
begründen.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606366" w:name="note15"/>
            <w:bookmarkEnd w:id="99606366"/>
            <w:bookmarkStart w:id="9967739990906" w:name="note15"/>
            <w:r>
              <w:rPr>
                <w:rFonts w:ascii="Arial" w:hAnsi="Arial" w:eastAsia="Arial" w:cs="Arial"/>
                <w:b/>
                <w:bCs/>
                <w:color w:val="000000"/>
                <w:position w:val="0"/>
                <w:sz w:val="20"/>
                <w:szCs w:val="20"/>
              </w:rPr>
              <w:t xml:space="preserve">[15]</w:t>
            </w:r>
            <w:bookmarkEnd w:id="996773999090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Frist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Beschwerdefrist beträgt grundsätzlich einen Monat ab
Bekanntgabe iSd § 97 BAO. Sie ist auf Antrag von der
Abgabenbehörde aus berücksichtigungswürdigen Gründen,
erforderlichenfalls auch wiederholt, zu verlängern. Durch einen
Antrag auf Fristverlängerung wird der Lauf der Beschwerdefrist
gehemmt (§ 245 Abs 1 und 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Tage des Postenlaufes werden in die Frist nicht eingerechnet
(§ 108 Abs 4 BAO).</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58528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1211956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483655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923274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7315514">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72713671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5940199">
    <w:multiLevelType w:val="hybridMultilevel"/>
    <w:lvl w:ilvl="0">
      <w:start w:val=""/>
      <w:numFmt w:val="bullet"/>
      <w:lvlText w:val="●"/>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lowerLetter"/>
      <w:lvlText w:val="%4."/>
      <w:lvlJc w:val="left"/>
      <w:pPr>
        <w:ind w:left="2880" w:hanging="360"/>
      </w:pPr>
      <w:rPr/>
    </w:lvl>
    <w:lvl w:ilvl="4">
      <w:start w:val=""/>
      <w:numFmt w:val="bullet"/>
      <w:lvlText w:val="o"/>
      <w:lvlJc w:val="left"/>
      <w:pPr>
        <w:ind w:left="3600" w:hanging="360"/>
      </w:pPr>
      <w:rPr>
        <w:rFonts w:ascii="Courier New" w:hAnsi="Courier New" w:cs="Courier New" w:hint="default"/>
      </w:rPr>
    </w:lvl>
    <w:lvl w:ilvl="5">
      <w:start w:val=""/>
      <w:numFmt w:val="lowerLetter"/>
      <w:lvlText w:val="%6."/>
      <w:lvlJc w:val="left"/>
      <w:pPr>
        <w:ind w:left="4320" w:hanging="360"/>
      </w:pPr>
      <w:rPr/>
    </w:lvl>
    <w:lvl w:ilvl="6">
      <w:start w:val=""/>
      <w:numFmt w:val="bullet"/>
      <w:lvlText w:val=""/>
      <w:lvlJc w:val="left"/>
      <w:pPr>
        <w:ind w:left="5040" w:hanging="360"/>
      </w:pPr>
      <w:rPr>
        <w:rFonts w:ascii="Symbol" w:hAnsi="Symbol" w:cs="Symbol" w:hint="default"/>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99181149">
    <w:multiLevelType w:val="hybridMultilevel"/>
    <w:lvl w:ilvl="0" w:tplc="59737390">
      <w:start w:val="1"/>
      <w:numFmt w:val="decimal"/>
      <w:lvlText w:val="%1."/>
      <w:lvlJc w:val="left"/>
      <w:pPr>
        <w:ind w:left="720" w:hanging="360"/>
      </w:pPr>
    </w:lvl>
    <w:lvl w:ilvl="1" w:tplc="59737390" w:tentative="1">
      <w:start w:val="1"/>
      <w:numFmt w:val="lowerLetter"/>
      <w:lvlText w:val="%2."/>
      <w:lvlJc w:val="left"/>
      <w:pPr>
        <w:ind w:left="1440" w:hanging="360"/>
      </w:pPr>
    </w:lvl>
    <w:lvl w:ilvl="2" w:tplc="59737390" w:tentative="1">
      <w:start w:val="1"/>
      <w:numFmt w:val="lowerRoman"/>
      <w:lvlText w:val="%3."/>
      <w:lvlJc w:val="right"/>
      <w:pPr>
        <w:ind w:left="2160" w:hanging="180"/>
      </w:pPr>
    </w:lvl>
    <w:lvl w:ilvl="3" w:tplc="59737390" w:tentative="1">
      <w:start w:val="1"/>
      <w:numFmt w:val="decimal"/>
      <w:lvlText w:val="%4."/>
      <w:lvlJc w:val="left"/>
      <w:pPr>
        <w:ind w:left="2880" w:hanging="360"/>
      </w:pPr>
    </w:lvl>
    <w:lvl w:ilvl="4" w:tplc="59737390" w:tentative="1">
      <w:start w:val="1"/>
      <w:numFmt w:val="lowerLetter"/>
      <w:lvlText w:val="%5."/>
      <w:lvlJc w:val="left"/>
      <w:pPr>
        <w:ind w:left="3600" w:hanging="360"/>
      </w:pPr>
    </w:lvl>
    <w:lvl w:ilvl="5" w:tplc="59737390" w:tentative="1">
      <w:start w:val="1"/>
      <w:numFmt w:val="lowerRoman"/>
      <w:lvlText w:val="%6."/>
      <w:lvlJc w:val="right"/>
      <w:pPr>
        <w:ind w:left="4320" w:hanging="180"/>
      </w:pPr>
    </w:lvl>
    <w:lvl w:ilvl="6" w:tplc="59737390" w:tentative="1">
      <w:start w:val="1"/>
      <w:numFmt w:val="decimal"/>
      <w:lvlText w:val="%7."/>
      <w:lvlJc w:val="left"/>
      <w:pPr>
        <w:ind w:left="5040" w:hanging="360"/>
      </w:pPr>
    </w:lvl>
    <w:lvl w:ilvl="7" w:tplc="59737390" w:tentative="1">
      <w:start w:val="1"/>
      <w:numFmt w:val="lowerLetter"/>
      <w:lvlText w:val="%8."/>
      <w:lvlJc w:val="left"/>
      <w:pPr>
        <w:ind w:left="5760" w:hanging="360"/>
      </w:pPr>
    </w:lvl>
    <w:lvl w:ilvl="8" w:tplc="59737390" w:tentative="1">
      <w:start w:val="1"/>
      <w:numFmt w:val="lowerRoman"/>
      <w:lvlText w:val="%9."/>
      <w:lvlJc w:val="right"/>
      <w:pPr>
        <w:ind w:left="6480" w:hanging="180"/>
      </w:pPr>
    </w:lvl>
  </w:abstractNum>
  <w:abstractNum w:abstractNumId="99181148">
    <w:multiLevelType w:val="hybridMultilevel"/>
    <w:lvl w:ilvl="0" w:tplc="41522026">
      <w:start w:val="1"/>
      <w:numFmt w:val="decimal"/>
      <w:lvlText w:val="%1."/>
      <w:lvlJc w:val="left"/>
      <w:pPr>
        <w:ind w:left="720" w:hanging="360"/>
      </w:pPr>
    </w:lvl>
    <w:lvl w:ilvl="1" w:tplc="41522026" w:tentative="1">
      <w:start w:val="1"/>
      <w:numFmt w:val="lowerLetter"/>
      <w:lvlText w:val="%2."/>
      <w:lvlJc w:val="left"/>
      <w:pPr>
        <w:ind w:left="1440" w:hanging="360"/>
      </w:pPr>
    </w:lvl>
    <w:lvl w:ilvl="2" w:tplc="41522026" w:tentative="1">
      <w:start w:val="1"/>
      <w:numFmt w:val="lowerRoman"/>
      <w:lvlText w:val="%3."/>
      <w:lvlJc w:val="right"/>
      <w:pPr>
        <w:ind w:left="2160" w:hanging="180"/>
      </w:pPr>
    </w:lvl>
    <w:lvl w:ilvl="3" w:tplc="41522026" w:tentative="1">
      <w:start w:val="1"/>
      <w:numFmt w:val="decimal"/>
      <w:lvlText w:val="%4."/>
      <w:lvlJc w:val="left"/>
      <w:pPr>
        <w:ind w:left="2880" w:hanging="360"/>
      </w:pPr>
    </w:lvl>
    <w:lvl w:ilvl="4" w:tplc="41522026" w:tentative="1">
      <w:start w:val="1"/>
      <w:numFmt w:val="lowerLetter"/>
      <w:lvlText w:val="%5."/>
      <w:lvlJc w:val="left"/>
      <w:pPr>
        <w:ind w:left="3600" w:hanging="360"/>
      </w:pPr>
    </w:lvl>
    <w:lvl w:ilvl="5" w:tplc="41522026" w:tentative="1">
      <w:start w:val="1"/>
      <w:numFmt w:val="lowerRoman"/>
      <w:lvlText w:val="%6."/>
      <w:lvlJc w:val="right"/>
      <w:pPr>
        <w:ind w:left="4320" w:hanging="180"/>
      </w:pPr>
    </w:lvl>
    <w:lvl w:ilvl="6" w:tplc="41522026" w:tentative="1">
      <w:start w:val="1"/>
      <w:numFmt w:val="decimal"/>
      <w:lvlText w:val="%7."/>
      <w:lvlJc w:val="left"/>
      <w:pPr>
        <w:ind w:left="5040" w:hanging="360"/>
      </w:pPr>
    </w:lvl>
    <w:lvl w:ilvl="7" w:tplc="41522026" w:tentative="1">
      <w:start w:val="1"/>
      <w:numFmt w:val="lowerLetter"/>
      <w:lvlText w:val="%8."/>
      <w:lvlJc w:val="left"/>
      <w:pPr>
        <w:ind w:left="5760" w:hanging="360"/>
      </w:pPr>
    </w:lvl>
    <w:lvl w:ilvl="8" w:tplc="41522026" w:tentative="1">
      <w:start w:val="1"/>
      <w:numFmt w:val="lowerRoman"/>
      <w:lvlText w:val="%9."/>
      <w:lvlJc w:val="right"/>
      <w:pPr>
        <w:ind w:left="6480" w:hanging="180"/>
      </w:pPr>
    </w:lvl>
  </w:abstractNum>
  <w:abstractNum w:abstractNumId="99181147">
    <w:multiLevelType w:val="hybridMultilevel"/>
    <w:lvl w:ilvl="0" w:tplc="71099009">
      <w:start w:val="1"/>
      <w:numFmt w:val="decimal"/>
      <w:lvlText w:val="%1."/>
      <w:lvlJc w:val="left"/>
      <w:pPr>
        <w:ind w:left="720" w:hanging="360"/>
      </w:pPr>
    </w:lvl>
    <w:lvl w:ilvl="1" w:tplc="71099009" w:tentative="1">
      <w:start w:val="1"/>
      <w:numFmt w:val="lowerLetter"/>
      <w:lvlText w:val="%2."/>
      <w:lvlJc w:val="left"/>
      <w:pPr>
        <w:ind w:left="1440" w:hanging="360"/>
      </w:pPr>
    </w:lvl>
    <w:lvl w:ilvl="2" w:tplc="71099009" w:tentative="1">
      <w:start w:val="1"/>
      <w:numFmt w:val="lowerRoman"/>
      <w:lvlText w:val="%3."/>
      <w:lvlJc w:val="right"/>
      <w:pPr>
        <w:ind w:left="2160" w:hanging="180"/>
      </w:pPr>
    </w:lvl>
    <w:lvl w:ilvl="3" w:tplc="71099009" w:tentative="1">
      <w:start w:val="1"/>
      <w:numFmt w:val="decimal"/>
      <w:lvlText w:val="%4."/>
      <w:lvlJc w:val="left"/>
      <w:pPr>
        <w:ind w:left="2880" w:hanging="360"/>
      </w:pPr>
    </w:lvl>
    <w:lvl w:ilvl="4" w:tplc="71099009" w:tentative="1">
      <w:start w:val="1"/>
      <w:numFmt w:val="lowerLetter"/>
      <w:lvlText w:val="%5."/>
      <w:lvlJc w:val="left"/>
      <w:pPr>
        <w:ind w:left="3600" w:hanging="360"/>
      </w:pPr>
    </w:lvl>
    <w:lvl w:ilvl="5" w:tplc="71099009" w:tentative="1">
      <w:start w:val="1"/>
      <w:numFmt w:val="lowerRoman"/>
      <w:lvlText w:val="%6."/>
      <w:lvlJc w:val="right"/>
      <w:pPr>
        <w:ind w:left="4320" w:hanging="180"/>
      </w:pPr>
    </w:lvl>
    <w:lvl w:ilvl="6" w:tplc="71099009" w:tentative="1">
      <w:start w:val="1"/>
      <w:numFmt w:val="decimal"/>
      <w:lvlText w:val="%7."/>
      <w:lvlJc w:val="left"/>
      <w:pPr>
        <w:ind w:left="5040" w:hanging="360"/>
      </w:pPr>
    </w:lvl>
    <w:lvl w:ilvl="7" w:tplc="71099009" w:tentative="1">
      <w:start w:val="1"/>
      <w:numFmt w:val="lowerLetter"/>
      <w:lvlText w:val="%8."/>
      <w:lvlJc w:val="left"/>
      <w:pPr>
        <w:ind w:left="5760" w:hanging="360"/>
      </w:pPr>
    </w:lvl>
    <w:lvl w:ilvl="8" w:tplc="71099009" w:tentative="1">
      <w:start w:val="1"/>
      <w:numFmt w:val="lowerRoman"/>
      <w:lvlText w:val="%9."/>
      <w:lvlJc w:val="right"/>
      <w:pPr>
        <w:ind w:left="6480" w:hanging="180"/>
      </w:pPr>
    </w:lvl>
  </w:abstractNum>
  <w:abstractNum w:abstractNumId="99181146">
    <w:multiLevelType w:val="hybridMultilevel"/>
    <w:lvl w:ilvl="0" w:tplc="73171823">
      <w:start w:val="1"/>
      <w:numFmt w:val="decimal"/>
      <w:lvlText w:val="%1."/>
      <w:lvlJc w:val="left"/>
      <w:pPr>
        <w:ind w:left="720" w:hanging="360"/>
      </w:pPr>
    </w:lvl>
    <w:lvl w:ilvl="1" w:tplc="73171823" w:tentative="1">
      <w:start w:val="1"/>
      <w:numFmt w:val="lowerLetter"/>
      <w:lvlText w:val="%2."/>
      <w:lvlJc w:val="left"/>
      <w:pPr>
        <w:ind w:left="1440" w:hanging="360"/>
      </w:pPr>
    </w:lvl>
    <w:lvl w:ilvl="2" w:tplc="73171823" w:tentative="1">
      <w:start w:val="1"/>
      <w:numFmt w:val="lowerRoman"/>
      <w:lvlText w:val="%3."/>
      <w:lvlJc w:val="right"/>
      <w:pPr>
        <w:ind w:left="2160" w:hanging="180"/>
      </w:pPr>
    </w:lvl>
    <w:lvl w:ilvl="3" w:tplc="73171823" w:tentative="1">
      <w:start w:val="1"/>
      <w:numFmt w:val="decimal"/>
      <w:lvlText w:val="%4."/>
      <w:lvlJc w:val="left"/>
      <w:pPr>
        <w:ind w:left="2880" w:hanging="360"/>
      </w:pPr>
    </w:lvl>
    <w:lvl w:ilvl="4" w:tplc="73171823" w:tentative="1">
      <w:start w:val="1"/>
      <w:numFmt w:val="lowerLetter"/>
      <w:lvlText w:val="%5."/>
      <w:lvlJc w:val="left"/>
      <w:pPr>
        <w:ind w:left="3600" w:hanging="360"/>
      </w:pPr>
    </w:lvl>
    <w:lvl w:ilvl="5" w:tplc="73171823" w:tentative="1">
      <w:start w:val="1"/>
      <w:numFmt w:val="lowerRoman"/>
      <w:lvlText w:val="%6."/>
      <w:lvlJc w:val="right"/>
      <w:pPr>
        <w:ind w:left="4320" w:hanging="180"/>
      </w:pPr>
    </w:lvl>
    <w:lvl w:ilvl="6" w:tplc="73171823" w:tentative="1">
      <w:start w:val="1"/>
      <w:numFmt w:val="decimal"/>
      <w:lvlText w:val="%7."/>
      <w:lvlJc w:val="left"/>
      <w:pPr>
        <w:ind w:left="5040" w:hanging="360"/>
      </w:pPr>
    </w:lvl>
    <w:lvl w:ilvl="7" w:tplc="73171823" w:tentative="1">
      <w:start w:val="1"/>
      <w:numFmt w:val="lowerLetter"/>
      <w:lvlText w:val="%8."/>
      <w:lvlJc w:val="left"/>
      <w:pPr>
        <w:ind w:left="5760" w:hanging="360"/>
      </w:pPr>
    </w:lvl>
    <w:lvl w:ilvl="8" w:tplc="73171823" w:tentative="1">
      <w:start w:val="1"/>
      <w:numFmt w:val="lowerRoman"/>
      <w:lvlText w:val="%9."/>
      <w:lvlJc w:val="right"/>
      <w:pPr>
        <w:ind w:left="6480" w:hanging="180"/>
      </w:pPr>
    </w:lvl>
  </w:abstractNum>
  <w:abstractNum w:abstractNumId="90186198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3630568">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71881576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6958376">
    <w:multiLevelType w:val="hybridMultilevel"/>
    <w:lvl w:ilvl="0">
      <w:start w:val=""/>
      <w:numFmt w:val="bullet"/>
      <w:lvlText w:val="●"/>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lowerLetter"/>
      <w:lvlText w:val="%4."/>
      <w:lvlJc w:val="left"/>
      <w:pPr>
        <w:ind w:left="2880" w:hanging="360"/>
      </w:pPr>
      <w:rPr/>
    </w:lvl>
    <w:lvl w:ilvl="4">
      <w:start w:val=""/>
      <w:numFmt w:val="bullet"/>
      <w:lvlText w:val="o"/>
      <w:lvlJc w:val="left"/>
      <w:pPr>
        <w:ind w:left="3600" w:hanging="360"/>
      </w:pPr>
      <w:rPr>
        <w:rFonts w:ascii="Courier New" w:hAnsi="Courier New" w:cs="Courier New" w:hint="default"/>
      </w:rPr>
    </w:lvl>
    <w:lvl w:ilvl="5">
      <w:start w:val=""/>
      <w:numFmt w:val="lowerLetter"/>
      <w:lvlText w:val="%6."/>
      <w:lvlJc w:val="left"/>
      <w:pPr>
        <w:ind w:left="4320" w:hanging="360"/>
      </w:pPr>
      <w:rPr/>
    </w:lvl>
    <w:lvl w:ilvl="6">
      <w:start w:val=""/>
      <w:numFmt w:val="bullet"/>
      <w:lvlText w:val=""/>
      <w:lvlJc w:val="left"/>
      <w:pPr>
        <w:ind w:left="5040" w:hanging="360"/>
      </w:pPr>
      <w:rPr>
        <w:rFonts w:ascii="Symbol" w:hAnsi="Symbol" w:cs="Symbol" w:hint="default"/>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99181145">
    <w:multiLevelType w:val="hybridMultilevel"/>
    <w:lvl w:ilvl="0" w:tplc="73257741">
      <w:start w:val="1"/>
      <w:numFmt w:val="decimal"/>
      <w:lvlText w:val="%1."/>
      <w:lvlJc w:val="left"/>
      <w:pPr>
        <w:ind w:left="720" w:hanging="360"/>
      </w:pPr>
    </w:lvl>
    <w:lvl w:ilvl="1" w:tplc="73257741" w:tentative="1">
      <w:start w:val="1"/>
      <w:numFmt w:val="lowerLetter"/>
      <w:lvlText w:val="%2."/>
      <w:lvlJc w:val="left"/>
      <w:pPr>
        <w:ind w:left="1440" w:hanging="360"/>
      </w:pPr>
    </w:lvl>
    <w:lvl w:ilvl="2" w:tplc="73257741" w:tentative="1">
      <w:start w:val="1"/>
      <w:numFmt w:val="lowerRoman"/>
      <w:lvlText w:val="%3."/>
      <w:lvlJc w:val="right"/>
      <w:pPr>
        <w:ind w:left="2160" w:hanging="180"/>
      </w:pPr>
    </w:lvl>
    <w:lvl w:ilvl="3" w:tplc="73257741" w:tentative="1">
      <w:start w:val="1"/>
      <w:numFmt w:val="decimal"/>
      <w:lvlText w:val="%4."/>
      <w:lvlJc w:val="left"/>
      <w:pPr>
        <w:ind w:left="2880" w:hanging="360"/>
      </w:pPr>
    </w:lvl>
    <w:lvl w:ilvl="4" w:tplc="73257741" w:tentative="1">
      <w:start w:val="1"/>
      <w:numFmt w:val="lowerLetter"/>
      <w:lvlText w:val="%5."/>
      <w:lvlJc w:val="left"/>
      <w:pPr>
        <w:ind w:left="3600" w:hanging="360"/>
      </w:pPr>
    </w:lvl>
    <w:lvl w:ilvl="5" w:tplc="73257741" w:tentative="1">
      <w:start w:val="1"/>
      <w:numFmt w:val="lowerRoman"/>
      <w:lvlText w:val="%6."/>
      <w:lvlJc w:val="right"/>
      <w:pPr>
        <w:ind w:left="4320" w:hanging="180"/>
      </w:pPr>
    </w:lvl>
    <w:lvl w:ilvl="6" w:tplc="73257741" w:tentative="1">
      <w:start w:val="1"/>
      <w:numFmt w:val="decimal"/>
      <w:lvlText w:val="%7."/>
      <w:lvlJc w:val="left"/>
      <w:pPr>
        <w:ind w:left="5040" w:hanging="360"/>
      </w:pPr>
    </w:lvl>
    <w:lvl w:ilvl="7" w:tplc="73257741" w:tentative="1">
      <w:start w:val="1"/>
      <w:numFmt w:val="lowerLetter"/>
      <w:lvlText w:val="%8."/>
      <w:lvlJc w:val="left"/>
      <w:pPr>
        <w:ind w:left="5760" w:hanging="360"/>
      </w:pPr>
    </w:lvl>
    <w:lvl w:ilvl="8" w:tplc="73257741" w:tentative="1">
      <w:start w:val="1"/>
      <w:numFmt w:val="lowerRoman"/>
      <w:lvlText w:val="%9."/>
      <w:lvlJc w:val="right"/>
      <w:pPr>
        <w:ind w:left="6480" w:hanging="180"/>
      </w:pPr>
    </w:lvl>
  </w:abstractNum>
  <w:abstractNum w:abstractNumId="99181144">
    <w:multiLevelType w:val="hybridMultilevel"/>
    <w:lvl w:ilvl="0" w:tplc="83805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81144">
    <w:abstractNumId w:val="99181144"/>
  </w:num>
  <w:num w:numId="99181145">
    <w:abstractNumId w:val="99181145"/>
  </w:num>
  <w:num w:numId="836958376">
    <w:abstractNumId w:val="836958376"/>
  </w:num>
  <w:num w:numId="718815766">
    <w:abstractNumId w:val="718815766"/>
  </w:num>
  <w:num w:numId="463630568">
    <w:abstractNumId w:val="463630568"/>
  </w:num>
  <w:num w:numId="901861985">
    <w:abstractNumId w:val="901861985"/>
  </w:num>
  <w:num w:numId="99181146">
    <w:abstractNumId w:val="99181146"/>
  </w:num>
  <w:num w:numId="99181147">
    <w:abstractNumId w:val="99181147"/>
  </w:num>
  <w:num w:numId="99181148">
    <w:abstractNumId w:val="99181148"/>
  </w:num>
  <w:num w:numId="99181149">
    <w:abstractNumId w:val="99181149"/>
  </w:num>
  <w:num w:numId="805940199">
    <w:abstractNumId w:val="805940199"/>
  </w:num>
  <w:num w:numId="727136712">
    <w:abstractNumId w:val="727136712"/>
  </w:num>
  <w:num w:numId="887315514">
    <w:abstractNumId w:val="887315514"/>
  </w:num>
  <w:num w:numId="892327478">
    <w:abstractNumId w:val="892327478"/>
  </w:num>
  <w:num w:numId="564836550">
    <w:abstractNumId w:val="564836550"/>
  </w:num>
  <w:num w:numId="612119562">
    <w:abstractNumId w:val="612119562"/>
  </w:num>
  <w:num w:numId="760585281">
    <w:abstractNumId w:val="760585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29879004" Type="http://schemas.openxmlformats.org/officeDocument/2006/relationships/numbering" Target="numbering.xml"/><Relationship Id="rId971770330" Type="http://schemas.openxmlformats.org/officeDocument/2006/relationships/comments" Target="comments.xml"/><Relationship Id="rId70816ab663cb60a69" Type="http://schemas.openxmlformats.org/officeDocument/2006/relationships/hyperlink" Target="https://www.bfg.gv.at/verfahren.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