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985581" w:name="document"/>
    <w:bookmarkEnd w:id="41985581"/>
    <w:p/>
    <w:p>
      <w:pPr>
        <w:widowControl w:val="on"/>
        <w:pBdr/>
        <w:spacing w:before="0" w:after="280" w:line="240" w:lineRule="auto"/>
        <w:ind w:left="0" w:right="0"/>
        <w:jc w:val="left"/>
      </w:pPr>
      <w:r>
        <w:rPr>
          <w:rFonts w:ascii="Arial" w:hAnsi="Arial" w:eastAsia="Arial" w:cs="Arial"/>
          <w:color w:val="363A40"/>
          <w:sz w:val="24"/>
          <w:szCs w:val="24"/>
        </w:rPr>
        <w:t xml:space="preserve">Dokument-ID: 1008705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Verfahren: Vorlage gem § 264 BAO</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bookmarkStart w:id="51329759" w:name="link1"/>
      <w:bookmarkEnd w:id="51329759"/>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w:t>
      </w:r>
      <w:r>
        <w:rPr>
          <w:rFonts w:ascii="Arial" w:hAnsi="Arial" w:eastAsia="Arial" w:cs="Arial"/>
          <w:color w:val="000000"/>
          <w:sz w:val="20"/>
          <w:szCs w:val="20"/>
        </w:rPr>
        <w:t xml:space="preserve">Österreich</w:t>
      </w:r>
      <w:bookmarkStart w:id="70553384" w:name="link2"/>
      <w:bookmarkEnd w:id="70553384"/>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Beschwerdevorentscheidung vom … [Datum der
Beschwerdevorentscheidung]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Vorlageantrag gem § 264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binnen offener </w:t>
      </w:r>
      <w:r>
        <w:rPr>
          <w:rFonts w:ascii="Arial" w:hAnsi="Arial" w:eastAsia="Arial" w:cs="Arial"/>
          <w:color w:val="000000"/>
          <w:sz w:val="20"/>
          <w:szCs w:val="20"/>
        </w:rPr>
        <w:t xml:space="preserve">Frist</w:t>
      </w:r>
      <w:bookmarkStart w:id="59682588" w:name="link3"/>
      <w:bookmarkEnd w:id="59682588"/>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Bescheidbeschwerde vom … [Datum der Bescheidbeschwerde] dem
Bundesfinanzgericht zur Entscheidung vorzulegen [Aussetzung der
Einhebung (optional):] und beantragen gleichzeitig, die Einhebung
des strittigen Abgabenbetrages gem § 212a BAO bis zur
rechtskräftigen Erledigung dieser Bescheidbeschwerde auszusetzen.
Zur Begründung verweisen wir dabei auf die nachstehenden
Ausführungen:</w:t>
      </w:r>
    </w:p>
    <w:p>
      <w:pPr>
        <w:numPr>
          <w:ilvl w:val="0"/>
          <w:numId w:val="2840185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Sachverhalt:</w:t>
      </w:r>
      <w:r>
        <w:rPr>
          <w:rFonts w:ascii="Arial" w:hAnsi="Arial" w:eastAsia="Arial" w:cs="Arial"/>
          <w:color w:val="000000"/>
          <w:sz w:val="20"/>
          <w:szCs w:val="20"/>
        </w:rPr>
        <w:br/>
        <w:t xml:space="preserve">Mit Beschwerdevorentscheidung vom … [Datum], zugestellt am …
[Zustellungsdatum], zu … [</w:t>
      </w:r>
      <w:r>
        <w:rPr>
          <w:rFonts w:ascii="Arial" w:hAnsi="Arial" w:eastAsia="Arial" w:cs="Arial"/>
          <w:color w:val="000000"/>
          <w:sz w:val="20"/>
          <w:szCs w:val="20"/>
        </w:rPr>
        <w:t xml:space="preserve">Geschäftszahl]</w:t>
      </w:r>
      <w:bookmarkStart w:id="12234429" w:name="link4"/>
      <w:bookmarkEnd w:id="12234429"/>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wurde die
Bescheidbeschwerde vom … [Datum der Bescheidbeschwerde] als
unbegründet abgewiesen.</w:t>
      </w:r>
      <w:r>
        <w:rPr>
          <w:rFonts w:ascii="Arial" w:hAnsi="Arial" w:eastAsia="Arial" w:cs="Arial"/>
          <w:color w:val="000000"/>
          <w:sz w:val="20"/>
          <w:szCs w:val="20"/>
        </w:rPr>
        <w:br/>
        <w:t xml:space="preserve">… [Beschreibung des maßgeblichen </w:t>
      </w:r>
      <w:r>
        <w:rPr>
          <w:rFonts w:ascii="Arial" w:hAnsi="Arial" w:eastAsia="Arial" w:cs="Arial"/>
          <w:color w:val="000000"/>
          <w:sz w:val="20"/>
          <w:szCs w:val="20"/>
        </w:rPr>
        <w:t xml:space="preserve">Sachverhalts]</w:t>
      </w:r>
      <w:bookmarkStart w:id="87368538" w:name="link5"/>
      <w:bookmarkEnd w:id="87368538"/>
      <w:hyperlink w:anchor="note5" w:history="1">
        <w:r>
          <w:rPr>
            <w:rFonts w:ascii="Arial" w:hAnsi="Arial" w:eastAsia="Arial" w:cs="Arial"/>
            <w:b/>
            <w:bCs/>
            <w:color w:val="006BB6"/>
            <w:position w:val="4"/>
            <w:sz w:val="22"/>
            <w:szCs w:val="22"/>
            <w:vertAlign w:val="superscript"/>
          </w:rPr>
          <w:t xml:space="preserve">5</w:t>
        </w:r>
      </w:hyperlink>
    </w:p>
    <w:p>
      <w:pPr>
        <w:numPr>
          <w:ilvl w:val="0"/>
          <w:numId w:val="2840185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Rechtliche </w:t>
      </w:r>
      <w:r>
        <w:rPr>
          <w:rFonts w:ascii="Arial" w:hAnsi="Arial" w:eastAsia="Arial" w:cs="Arial"/>
          <w:color w:val="000000"/>
          <w:sz w:val="20"/>
          <w:szCs w:val="20"/>
        </w:rPr>
        <w:t xml:space="preserve">Würdigung:</w:t>
      </w:r>
      <w:bookmarkStart w:id="51218765" w:name="link6"/>
      <w:bookmarkEnd w:id="51218765"/>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Die Rechtsauffassung in der Beschwerdevorentscheidung vertretene
Rechtsauffassung der belangten Behörde ist verfehlt, da …
[Begründung].</w:t>
      </w:r>
      <w:r>
        <w:rPr>
          <w:rFonts w:ascii="Arial" w:hAnsi="Arial" w:eastAsia="Arial" w:cs="Arial"/>
          <w:color w:val="000000"/>
          <w:sz w:val="20"/>
          <w:szCs w:val="20"/>
        </w:rPr>
        <w:br/>
        <w:t xml:space="preserve">… [rechtliche Begründung des in der Beschwerde vertretenen
Standpunktes]</w:t>
      </w:r>
      <w:r>
        <w:rPr>
          <w:rFonts w:ascii="Arial" w:hAnsi="Arial" w:eastAsia="Arial" w:cs="Arial"/>
          <w:color w:val="000000"/>
          <w:sz w:val="20"/>
          <w:szCs w:val="20"/>
        </w:rPr>
        <w:br/>
        <w:t xml:space="preserve">Im Übrigen verweisen wir auf das bisherige Vorbringen in der
Bescheidbeschwerde vom … [Datum der Bescheidbeschwerde] und
wiederholen den darin enthaltenen Beschwerdeantrag.</w:t>
      </w:r>
    </w:p>
    <w:p>
      <w:pPr>
        <w:widowControl w:val="on"/>
        <w:pBdr/>
        <w:spacing w:before="140" w:after="240" w:line="288" w:lineRule="auto"/>
        <w:ind w:left="0" w:right="0"/>
        <w:jc w:val="left"/>
      </w:pPr>
      <w:r>
        <w:rPr>
          <w:rFonts w:ascii="Arial" w:hAnsi="Arial" w:eastAsia="Arial" w:cs="Arial"/>
          <w:color w:val="000000"/>
          <w:sz w:val="20"/>
          <w:szCs w:val="20"/>
        </w:rPr>
        <w:t xml:space="preserve">[Verfahrensleitende Anträge (optional):] Zugleich wird gem
§ 272 Abs 2 Z 1 lit b BAO die Entscheidung
durch den </w:t>
      </w:r>
      <w:r>
        <w:rPr>
          <w:rFonts w:ascii="Arial" w:hAnsi="Arial" w:eastAsia="Arial" w:cs="Arial"/>
          <w:color w:val="000000"/>
          <w:sz w:val="20"/>
          <w:szCs w:val="20"/>
        </w:rPr>
        <w:t xml:space="preserve">Senat</w:t>
      </w:r>
      <w:bookmarkStart w:id="84772070" w:name="link7"/>
      <w:bookmarkEnd w:id="84772070"/>
      <w:hyperlink w:anchor="note7" w:history="1">
        <w:r>
          <w:rPr>
            <w:rFonts w:ascii="Arial" w:hAnsi="Arial" w:eastAsia="Arial" w:cs="Arial"/>
            <w:b/>
            <w:bCs/>
            <w:color w:val="006BB6"/>
            <w:position w:val="4"/>
            <w:sz w:val="22"/>
            <w:szCs w:val="22"/>
            <w:vertAlign w:val="superscript"/>
          </w:rPr>
          <w:t xml:space="preserve">7</w:t>
        </w:r>
      </w:hyperlink>
      <w:r>
        <w:rPr>
          <w:rFonts w:ascii="Arial" w:hAnsi="Arial" w:eastAsia="Arial" w:cs="Arial"/>
          <w:color w:val="000000"/>
          <w:sz w:val="20"/>
          <w:szCs w:val="20"/>
        </w:rPr>
        <w:t xml:space="preserve"> und gem
§ 274 Abs 1 Z 1 lit b BAO die Durchführung
einer mündlichen </w:t>
      </w:r>
      <w:r>
        <w:rPr>
          <w:rFonts w:ascii="Arial" w:hAnsi="Arial" w:eastAsia="Arial" w:cs="Arial"/>
          <w:color w:val="000000"/>
          <w:sz w:val="20"/>
          <w:szCs w:val="20"/>
        </w:rPr>
        <w:t xml:space="preserve">Verhandlung</w:t>
      </w:r>
      <w:bookmarkStart w:id="70733209" w:name="link8"/>
      <w:bookmarkEnd w:id="70733209"/>
      <w:hyperlink w:anchor="note8" w:history="1">
        <w:r>
          <w:rPr>
            <w:rFonts w:ascii="Arial" w:hAnsi="Arial" w:eastAsia="Arial" w:cs="Arial"/>
            <w:b/>
            <w:bCs/>
            <w:color w:val="006BB6"/>
            <w:position w:val="4"/>
            <w:sz w:val="22"/>
            <w:szCs w:val="22"/>
            <w:vertAlign w:val="superscript"/>
          </w:rPr>
          <w:t xml:space="preserve">8</w:t>
        </w:r>
      </w:hyperlink>
      <w:r>
        <w:rPr>
          <w:rFonts w:ascii="Arial" w:hAnsi="Arial" w:eastAsia="Arial" w:cs="Arial"/>
          <w:color w:val="000000"/>
          <w:sz w:val="20"/>
          <w:szCs w:val="20"/>
        </w:rPr>
        <w:t xml:space="preserve"> beantragt.</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Beilagen:</w:t>
      </w:r>
      <w:bookmarkStart w:id="70023221" w:name="link5"/>
      <w:bookmarkEnd w:id="70023221"/>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 [Belege]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297188" w:name="note1"/>
            <w:bookmarkEnd w:id="20297188"/>
            <w:bookmarkStart w:id="4696416648927" w:name="note1"/>
            <w:r>
              <w:rPr>
                <w:rFonts w:ascii="Arial" w:hAnsi="Arial" w:eastAsia="Arial" w:cs="Arial"/>
                <w:b/>
                <w:bCs/>
                <w:color w:val="000000"/>
                <w:position w:val="0"/>
                <w:sz w:val="20"/>
                <w:szCs w:val="20"/>
              </w:rPr>
              <w:t xml:space="preserve">[1]</w:t>
            </w:r>
            <w:bookmarkEnd w:id="46964166489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Anbringen an die zuständigen Abgabenbehörden sind grundsätzlich
schriftlich, also durch persönliches Überbringen des
Beschwerdeschreibens, per Post, Fax oder über FinanzOnline
einzubringen. Elektronisch zugestellte Dokumente gelten als
zugestellt, sobald sie in den elektronischen Verfügungsbereich des
Empfängers gelangt sind (§ 98 Abs 2 BAO). Im Falle der
Zustellung via FinanzOnline ist dies der Zeitpunkt der Einbringung
der Daten in die „Databox“ (BFG vom 19.01.2026, RV/6100317/2025).
Telefonische Anbringen oder Anbringen per E-Mail sind dagegen
unwirksam. Ein Anbringen, das bei einer unzuständigen
Abgabenbehörde eingebracht wurde, kann von Amts wegen ohne
unnötigen Aufschub an die zuständige Abgabenbehörde weitergeleitet
werden. Laufende Fristen (zB Beschwerdefrist) werden dadurch
allerdings nicht gehemmt.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die tatsächliche und fristgerechte Einbringung gegebenenfalls
belegen zu können, empfiehlt sich außerdem dringend, das
Beschwerdeschreiben stets mittels eines eingeschriebenen Briefes an
die zuständige Abgabenbehörde zu versenden.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336465" w:name="note2"/>
            <w:bookmarkEnd w:id="62336465"/>
            <w:bookmarkStart w:id="6484767586647" w:name="note2"/>
            <w:r>
              <w:rPr>
                <w:rFonts w:ascii="Arial" w:hAnsi="Arial" w:eastAsia="Arial" w:cs="Arial"/>
                <w:b/>
                <w:bCs/>
                <w:color w:val="000000"/>
                <w:position w:val="0"/>
                <w:sz w:val="20"/>
                <w:szCs w:val="20"/>
              </w:rPr>
              <w:t xml:space="preserve">[2]</w:t>
            </w:r>
            <w:bookmarkEnd w:id="64847675866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muss beim Finanzamt Österreich eingebracht
werden. Eine Anknüpfung an örtliche Zuständigkeiten – wie
beispielsweise an den Wohnsitz oder die Betriebsstätte – erfolgt in
der neuen Struktur nicht mehr.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Bundesfinanzgericht ist zur Entscheidung (in der Sache) über
eine Bescheidbeschwerde in der Regel nur zuständig, wenn zuvor
bereits die Abgabenbehörde mit Beschwerdevorentscheidung
entschieden hat und dagegen ein Vorlageantrag erhoben wurde (VwGH
Ro 2023/13/0015).</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738806" w:name="note3"/>
            <w:bookmarkEnd w:id="35738806"/>
            <w:bookmarkStart w:id="2404790200678" w:name="note3"/>
            <w:r>
              <w:rPr>
                <w:rFonts w:ascii="Arial" w:hAnsi="Arial" w:eastAsia="Arial" w:cs="Arial"/>
                <w:b/>
                <w:bCs/>
                <w:color w:val="000000"/>
                <w:position w:val="0"/>
                <w:sz w:val="20"/>
                <w:szCs w:val="20"/>
              </w:rPr>
              <w:t xml:space="preserve">[3]</w:t>
            </w:r>
            <w:bookmarkEnd w:id="24047902006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ist innerhalb einer einmonatigen Frist,
beginnen ab Bekanntgabe (das ist üblicherweise die Zustellung) der
Beschwerdevorentscheidung eingebracht werden (§ 264 Abs 1
BAO). Wird nach dem Ergehen der Beschwerdevorentscheidung iSd
§ 262 BAO rechtzeitig ein Vorlageantrag eingebracht, gilt die
Beschwerde gem § 264 Abs 3 BAO wiederum als unerledigt
(VwGH Ra 2021/15/0072).</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772384" w:name="note4"/>
            <w:bookmarkEnd w:id="18772384"/>
            <w:bookmarkStart w:id="4767728629092" w:name="note4"/>
            <w:r>
              <w:rPr>
                <w:rFonts w:ascii="Arial" w:hAnsi="Arial" w:eastAsia="Arial" w:cs="Arial"/>
                <w:b/>
                <w:bCs/>
                <w:color w:val="000000"/>
                <w:position w:val="0"/>
                <w:sz w:val="20"/>
                <w:szCs w:val="20"/>
              </w:rPr>
              <w:t xml:space="preserve">[4]</w:t>
            </w:r>
            <w:bookmarkEnd w:id="47677286290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hat die Bezeichnung der
Beschwerdevorentscheidung zu enthalten. Nach den Erläuterungen zur
Regierungsvorlage soll in Fällen, bei denen aus einem Vorlageantrag
nicht ersichtlich ist, auf welche Beschwerdevorentscheidung er sich
bezieht, ein inhaltlicher Mangel iSd § 85 Abs 2 BAO
vorliegen (VwGH Ra 2020/13/0074).</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851075" w:name="note5"/>
            <w:bookmarkEnd w:id="70851075"/>
            <w:bookmarkStart w:id="683586585540" w:name="note5"/>
            <w:r>
              <w:rPr>
                <w:rFonts w:ascii="Arial" w:hAnsi="Arial" w:eastAsia="Arial" w:cs="Arial"/>
                <w:b/>
                <w:bCs/>
                <w:color w:val="000000"/>
                <w:position w:val="0"/>
                <w:sz w:val="20"/>
                <w:szCs w:val="20"/>
              </w:rPr>
              <w:t xml:space="preserve">[5]</w:t>
            </w:r>
            <w:bookmarkEnd w:id="6835865855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der Beschwerdebegründung angeführten Umstände sind,
sofern nicht offensichtlich bzw offenkundig amtsbekannt, durch
Nachweise (zB Dokumente, Zeugen, Lokalaugenschein etc) zu belegen.
Schriftliche Nachweise sind dem Beschwerdescheiben in Kopie
beizulegen, Zeugen namhaft zu machen. Für die Praxis empfiehlt
sich, besser zu viele als zu wenige Nachweise zu erbringen.
Lediglich die Rechtsgrundlagen (zB Gesetzesstellen, Judikate)
müssen nicht beigelegt werden.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089291" w:name="note6"/>
            <w:bookmarkEnd w:id="69089291"/>
            <w:bookmarkStart w:id="1736749754460" w:name="note6"/>
            <w:r>
              <w:rPr>
                <w:rFonts w:ascii="Arial" w:hAnsi="Arial" w:eastAsia="Arial" w:cs="Arial"/>
                <w:b/>
                <w:bCs/>
                <w:color w:val="000000"/>
                <w:position w:val="0"/>
                <w:sz w:val="20"/>
                <w:szCs w:val="20"/>
              </w:rPr>
              <w:t xml:space="preserve">[6]</w:t>
            </w:r>
            <w:bookmarkEnd w:id="17367497544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Vorlageantrag ist auf die Begründung der
Beschwerdevorentscheidung besonders einzugehen.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Stellung eines Vorlageantrages iSd § 264 Abs 1 BAO
selbst bedarf keiner Begründung (VwGH Ra 2019/13/0071).</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011894" w:name="note7"/>
            <w:bookmarkEnd w:id="23011894"/>
            <w:bookmarkStart w:id="4955714032568" w:name="note7"/>
            <w:r>
              <w:rPr>
                <w:rFonts w:ascii="Arial" w:hAnsi="Arial" w:eastAsia="Arial" w:cs="Arial"/>
                <w:b/>
                <w:bCs/>
                <w:color w:val="000000"/>
                <w:position w:val="0"/>
                <w:sz w:val="20"/>
                <w:szCs w:val="20"/>
              </w:rPr>
              <w:t xml:space="preserve">[7]</w:t>
            </w:r>
            <w:bookmarkEnd w:id="49557140325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das Bundesfinanzgericht durch einen
Einzelrichter über die Bescheidbeschwerde. Bei Bedarf kann in der
Bescheidbeschwerde aber auch die Entscheidung durch einen Senat
(bestehend aus zwei Richtern und zwei fachkundigen Laienrichtern)
beantragt werden (§ 272 Abs 2 Z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Einzelfall sollte immer sorgfältig erwogen werden, ob die
Entscheidung durch den Senat aus strategischen und taktischen
Gründen sinnvoll ist. Besonders bei weniger umfangreichen
Bescheidbeschwerden empfiehlt sich dabei mitunter, die Entscheidung
einem Einzelrichter zu überlassen.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262048" w:name="note8"/>
            <w:bookmarkEnd w:id="52262048"/>
            <w:bookmarkStart w:id="5038784418932" w:name="note8"/>
            <w:r>
              <w:rPr>
                <w:rFonts w:ascii="Arial" w:hAnsi="Arial" w:eastAsia="Arial" w:cs="Arial"/>
                <w:b/>
                <w:bCs/>
                <w:color w:val="000000"/>
                <w:position w:val="0"/>
                <w:sz w:val="20"/>
                <w:szCs w:val="20"/>
              </w:rPr>
              <w:t xml:space="preserve">[8]</w:t>
            </w:r>
            <w:bookmarkEnd w:id="50387844189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mündliche Verhandlung findet nur dann statt, wenn der
Einzelrichter es für notwendig erachtet oder der Abgabepflichtige
einen entsprechenden Antrag in der Bescheidbeschwerde stellt
(§ 274 Abs 1 Z 1 lit a BAO). Ob es sinnvoll
ist, eine mündliche Verhandlung zu beantragen, muss stets im
Einzelfall beurteilt werden.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837246" w:name="note9"/>
            <w:bookmarkEnd w:id="92837246"/>
            <w:bookmarkStart w:id="8965818820228" w:name="note9"/>
            <w:r>
              <w:rPr>
                <w:rFonts w:ascii="Arial" w:hAnsi="Arial" w:eastAsia="Arial" w:cs="Arial"/>
                <w:b/>
                <w:bCs/>
                <w:color w:val="000000"/>
                <w:position w:val="0"/>
                <w:sz w:val="20"/>
                <w:szCs w:val="20"/>
              </w:rPr>
              <w:t xml:space="preserve">[9]</w:t>
            </w:r>
            <w:bookmarkEnd w:id="89658188202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vorzeitiger (vor Bekanntgabe der Beschwerdevorentscheidung)
eingebrachter Vorlageantrag ist unzulässig. Wird die (gesonderte)
Begründung einer Beschwerdevorentscheidung vor der Bekanntgabe der
Beschwerdevorentscheidung zugestellt, ist ein zwischen der
Zustellung der (gesonderten) Begründung und der Zustellung der
eigentlichen Beschwerdevorentscheidung gestellter Vorlageantrag
zulässig. Wird zwar die (gesonderte) Begründung einer
Beschwerdevorentscheidung zugestellt, aber eine
Beschwerdevorentscheidung nicht erlassen, ist ein nach Ergehen der
Begründung gestellter Vorlageantrag unzulässig (BFG vom 04.05.2021,
RV/7104116/2018). Die Beschwerdevorentscheidung, deren Wirksamkeit
gem § 264 Abs 3 BAO durch den Vorlageantrag nicht berührt
wird, tritt mit dem Ergehen der abschließenden meritorischen
Beschwerdeerledigung aus dem Rechtsbestand (VwGH Ra
2025/16/0010).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01850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904272">
    <w:multiLevelType w:val="hybridMultilevel"/>
    <w:lvl w:ilvl="0" w:tplc="14018400">
      <w:start w:val="1"/>
      <w:numFmt w:val="decimal"/>
      <w:lvlText w:val="%1."/>
      <w:lvlJc w:val="left"/>
      <w:pPr>
        <w:ind w:left="720" w:hanging="360"/>
      </w:pPr>
    </w:lvl>
    <w:lvl w:ilvl="1" w:tplc="14018400" w:tentative="1">
      <w:start w:val="1"/>
      <w:numFmt w:val="lowerLetter"/>
      <w:lvlText w:val="%2."/>
      <w:lvlJc w:val="left"/>
      <w:pPr>
        <w:ind w:left="1440" w:hanging="360"/>
      </w:pPr>
    </w:lvl>
    <w:lvl w:ilvl="2" w:tplc="14018400" w:tentative="1">
      <w:start w:val="1"/>
      <w:numFmt w:val="lowerRoman"/>
      <w:lvlText w:val="%3."/>
      <w:lvlJc w:val="right"/>
      <w:pPr>
        <w:ind w:left="2160" w:hanging="180"/>
      </w:pPr>
    </w:lvl>
    <w:lvl w:ilvl="3" w:tplc="14018400" w:tentative="1">
      <w:start w:val="1"/>
      <w:numFmt w:val="decimal"/>
      <w:lvlText w:val="%4."/>
      <w:lvlJc w:val="left"/>
      <w:pPr>
        <w:ind w:left="2880" w:hanging="360"/>
      </w:pPr>
    </w:lvl>
    <w:lvl w:ilvl="4" w:tplc="14018400" w:tentative="1">
      <w:start w:val="1"/>
      <w:numFmt w:val="lowerLetter"/>
      <w:lvlText w:val="%5."/>
      <w:lvlJc w:val="left"/>
      <w:pPr>
        <w:ind w:left="3600" w:hanging="360"/>
      </w:pPr>
    </w:lvl>
    <w:lvl w:ilvl="5" w:tplc="14018400" w:tentative="1">
      <w:start w:val="1"/>
      <w:numFmt w:val="lowerRoman"/>
      <w:lvlText w:val="%6."/>
      <w:lvlJc w:val="right"/>
      <w:pPr>
        <w:ind w:left="4320" w:hanging="180"/>
      </w:pPr>
    </w:lvl>
    <w:lvl w:ilvl="6" w:tplc="14018400" w:tentative="1">
      <w:start w:val="1"/>
      <w:numFmt w:val="decimal"/>
      <w:lvlText w:val="%7."/>
      <w:lvlJc w:val="left"/>
      <w:pPr>
        <w:ind w:left="5040" w:hanging="360"/>
      </w:pPr>
    </w:lvl>
    <w:lvl w:ilvl="7" w:tplc="14018400" w:tentative="1">
      <w:start w:val="1"/>
      <w:numFmt w:val="lowerLetter"/>
      <w:lvlText w:val="%8."/>
      <w:lvlJc w:val="left"/>
      <w:pPr>
        <w:ind w:left="5760" w:hanging="360"/>
      </w:pPr>
    </w:lvl>
    <w:lvl w:ilvl="8" w:tplc="14018400" w:tentative="1">
      <w:start w:val="1"/>
      <w:numFmt w:val="lowerRoman"/>
      <w:lvlText w:val="%9."/>
      <w:lvlJc w:val="right"/>
      <w:pPr>
        <w:ind w:left="6480" w:hanging="180"/>
      </w:pPr>
    </w:lvl>
  </w:abstractNum>
  <w:abstractNum w:abstractNumId="92496761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904271">
    <w:multiLevelType w:val="hybridMultilevel"/>
    <w:lvl w:ilvl="0" w:tplc="62503217">
      <w:start w:val="1"/>
      <w:numFmt w:val="decimal"/>
      <w:lvlText w:val="%1."/>
      <w:lvlJc w:val="left"/>
      <w:pPr>
        <w:ind w:left="720" w:hanging="360"/>
      </w:pPr>
    </w:lvl>
    <w:lvl w:ilvl="1" w:tplc="62503217" w:tentative="1">
      <w:start w:val="1"/>
      <w:numFmt w:val="lowerLetter"/>
      <w:lvlText w:val="%2."/>
      <w:lvlJc w:val="left"/>
      <w:pPr>
        <w:ind w:left="1440" w:hanging="360"/>
      </w:pPr>
    </w:lvl>
    <w:lvl w:ilvl="2" w:tplc="62503217" w:tentative="1">
      <w:start w:val="1"/>
      <w:numFmt w:val="lowerRoman"/>
      <w:lvlText w:val="%3."/>
      <w:lvlJc w:val="right"/>
      <w:pPr>
        <w:ind w:left="2160" w:hanging="180"/>
      </w:pPr>
    </w:lvl>
    <w:lvl w:ilvl="3" w:tplc="62503217" w:tentative="1">
      <w:start w:val="1"/>
      <w:numFmt w:val="decimal"/>
      <w:lvlText w:val="%4."/>
      <w:lvlJc w:val="left"/>
      <w:pPr>
        <w:ind w:left="2880" w:hanging="360"/>
      </w:pPr>
    </w:lvl>
    <w:lvl w:ilvl="4" w:tplc="62503217" w:tentative="1">
      <w:start w:val="1"/>
      <w:numFmt w:val="lowerLetter"/>
      <w:lvlText w:val="%5."/>
      <w:lvlJc w:val="left"/>
      <w:pPr>
        <w:ind w:left="3600" w:hanging="360"/>
      </w:pPr>
    </w:lvl>
    <w:lvl w:ilvl="5" w:tplc="62503217" w:tentative="1">
      <w:start w:val="1"/>
      <w:numFmt w:val="lowerRoman"/>
      <w:lvlText w:val="%6."/>
      <w:lvlJc w:val="right"/>
      <w:pPr>
        <w:ind w:left="4320" w:hanging="180"/>
      </w:pPr>
    </w:lvl>
    <w:lvl w:ilvl="6" w:tplc="62503217" w:tentative="1">
      <w:start w:val="1"/>
      <w:numFmt w:val="decimal"/>
      <w:lvlText w:val="%7."/>
      <w:lvlJc w:val="left"/>
      <w:pPr>
        <w:ind w:left="5040" w:hanging="360"/>
      </w:pPr>
    </w:lvl>
    <w:lvl w:ilvl="7" w:tplc="62503217" w:tentative="1">
      <w:start w:val="1"/>
      <w:numFmt w:val="lowerLetter"/>
      <w:lvlText w:val="%8."/>
      <w:lvlJc w:val="left"/>
      <w:pPr>
        <w:ind w:left="5760" w:hanging="360"/>
      </w:pPr>
    </w:lvl>
    <w:lvl w:ilvl="8" w:tplc="62503217" w:tentative="1">
      <w:start w:val="1"/>
      <w:numFmt w:val="lowerRoman"/>
      <w:lvlText w:val="%9."/>
      <w:lvlJc w:val="right"/>
      <w:pPr>
        <w:ind w:left="6480" w:hanging="180"/>
      </w:pPr>
    </w:lvl>
  </w:abstractNum>
  <w:abstractNum w:abstractNumId="55904270">
    <w:multiLevelType w:val="hybridMultilevel"/>
    <w:lvl w:ilvl="0" w:tplc="82632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04270">
    <w:abstractNumId w:val="55904270"/>
  </w:num>
  <w:num w:numId="55904271">
    <w:abstractNumId w:val="55904271"/>
  </w:num>
  <w:num w:numId="924967615">
    <w:abstractNumId w:val="924967615"/>
  </w:num>
  <w:num w:numId="55904272">
    <w:abstractNumId w:val="55904272"/>
  </w:num>
  <w:num w:numId="284018503">
    <w:abstractNumId w:val="284018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85256017" Type="http://schemas.openxmlformats.org/officeDocument/2006/relationships/numbering" Target="numbering.xml"/><Relationship Id="rId7559669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