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5540827" w:name="document"/>
    <w:bookmarkEnd w:id="75540827"/>
    <w:p/>
    <w:p>
      <w:pPr>
        <w:widowControl w:val="on"/>
        <w:pBdr/>
        <w:spacing w:before="0" w:after="280" w:line="240" w:lineRule="auto"/>
        <w:ind w:left="0" w:right="0"/>
        <w:jc w:val="left"/>
      </w:pPr>
      <w:r>
        <w:rPr>
          <w:rFonts w:ascii="Arial" w:hAnsi="Arial" w:eastAsia="Arial" w:cs="Arial"/>
          <w:color w:val="363A40"/>
          <w:sz w:val="24"/>
          <w:szCs w:val="24"/>
        </w:rPr>
        <w:t xml:space="preserve">Dokument-ID: 1008715 | Raphael Albert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Zahlungserleichterung: Stundung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Österreich</w:t>
      </w:r>
      <w:r>
        <w:rPr>
          <w:rFonts w:ascii="Arial" w:hAnsi="Arial" w:eastAsia="Arial" w:cs="Arial"/>
          <w:color w:val="000000"/>
          <w:sz w:val="20"/>
          <w:szCs w:val="20"/>
        </w:rPr>
        <w:br/>
        <w:t xml:space="preserve">… [Abteilung]</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Steuernummer: … [Steuernummer des Antragstellers], … [Name und
Anschrift des Antragstellers]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Einkommensteuerbescheid vom … [Datum des
Einkommensteuerbescheides]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Ansuchen um Zahlungserleichterung gem § 212 BAO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ergeht das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Ansuchen,</w:t>
      </w:r>
    </w:p>
    <w:p>
      <w:pPr>
        <w:widowControl w:val="on"/>
        <w:pBdr/>
        <w:spacing w:before="140" w:after="240" w:line="288" w:lineRule="auto"/>
        <w:ind w:left="0" w:right="0"/>
        <w:jc w:val="left"/>
      </w:pPr>
      <w:r>
        <w:rPr>
          <w:rFonts w:ascii="Arial" w:hAnsi="Arial" w:eastAsia="Arial" w:cs="Arial"/>
          <w:color w:val="000000"/>
          <w:sz w:val="20"/>
          <w:szCs w:val="20"/>
        </w:rPr>
        <w:t xml:space="preserve">die derzeit auf dem Abgabenkonto des Antragstellers ausgewiesene
Einkommensteuerschuld in Höhe von EUR … [Betrag] gem
§ 212 BAO bis zum … </w:t>
      </w:r>
      <w:r>
        <w:rPr>
          <w:rFonts w:ascii="Arial" w:hAnsi="Arial" w:eastAsia="Arial" w:cs="Arial"/>
          <w:color w:val="000000"/>
          <w:sz w:val="20"/>
          <w:szCs w:val="20"/>
        </w:rPr>
        <w:t xml:space="preserve">[Datum]</w:t>
      </w:r>
      <w:bookmarkStart w:id="18604457" w:name="link1"/>
      <w:bookmarkEnd w:id="18604457"/>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zu stunden und
verweisen zur Begründung auf die nachstehenden Ausführungen:</w:t>
      </w:r>
    </w:p>
    <w:p>
      <w:pPr>
        <w:widowControl w:val="on"/>
        <w:pBdr/>
        <w:spacing w:before="140" w:after="240" w:line="288" w:lineRule="auto"/>
        <w:ind w:left="0" w:right="0"/>
        <w:jc w:val="left"/>
      </w:pPr>
      <w:r>
        <w:rPr>
          <w:rFonts w:ascii="Arial" w:hAnsi="Arial" w:eastAsia="Arial" w:cs="Arial"/>
          <w:color w:val="000000"/>
          <w:sz w:val="20"/>
          <w:szCs w:val="20"/>
        </w:rPr>
        <w:t xml:space="preserve">Die sofortige Entrichtung der aushaftenden Einkommensteuer wäre
im Hinblick auf … [Beschreibung der wirtschaftlichen Notlage oder
finanziellen Bedrängnis des </w:t>
      </w:r>
      <w:r>
        <w:rPr>
          <w:rFonts w:ascii="Arial" w:hAnsi="Arial" w:eastAsia="Arial" w:cs="Arial"/>
          <w:color w:val="000000"/>
          <w:sz w:val="20"/>
          <w:szCs w:val="20"/>
        </w:rPr>
        <w:t xml:space="preserve">Abgabenpflichtigen]</w:t>
      </w:r>
      <w:bookmarkStart w:id="20072582" w:name="link2"/>
      <w:bookmarkEnd w:id="20072582"/>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mit erheblichen
Härten verbunden. Dabei wird die Einbringlichkeit der Steuerschuld
durch die Bewilligung einer Stundung nicht </w:t>
      </w:r>
      <w:r>
        <w:rPr>
          <w:rFonts w:ascii="Arial" w:hAnsi="Arial" w:eastAsia="Arial" w:cs="Arial"/>
          <w:color w:val="000000"/>
          <w:sz w:val="20"/>
          <w:szCs w:val="20"/>
        </w:rPr>
        <w:t xml:space="preserve">gefährdet,</w:t>
      </w:r>
      <w:bookmarkStart w:id="29779109" w:name="link3"/>
      <w:bookmarkEnd w:id="29779109"/>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da … [Beschreibung der
maßgeblichen </w:t>
      </w:r>
      <w:r>
        <w:rPr>
          <w:rFonts w:ascii="Arial" w:hAnsi="Arial" w:eastAsia="Arial" w:cs="Arial"/>
          <w:color w:val="000000"/>
          <w:sz w:val="20"/>
          <w:szCs w:val="20"/>
        </w:rPr>
        <w:t xml:space="preserve">Umstände].</w:t>
      </w:r>
      <w:bookmarkStart w:id="51326819" w:name="link4"/>
      <w:bookmarkEnd w:id="51326819"/>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Mit der Bitte um ansuchensgemäße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920968" w:name="note1"/>
            <w:bookmarkEnd w:id="26920968"/>
            <w:bookmarkStart w:id="7150361565661" w:name="note1"/>
            <w:r>
              <w:rPr>
                <w:rFonts w:ascii="Arial" w:hAnsi="Arial" w:eastAsia="Arial" w:cs="Arial"/>
                <w:b/>
                <w:bCs/>
                <w:color w:val="000000"/>
                <w:position w:val="0"/>
                <w:sz w:val="20"/>
                <w:szCs w:val="20"/>
              </w:rPr>
              <w:t xml:space="preserve">[1]</w:t>
            </w:r>
            <w:bookmarkEnd w:id="71503615656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Verstreichen des Termins, bis zu welchem ein
Abgabepflichtiger die Stundung begehrt hat, kann die Behörde bei
Erlassung ihres Bescheides diese vom Abgabepflichtigen begehrte
Stundung nicht mehr (rückwirkend – ex tunc) gewähren (BFG
22.06.2017, RV/7104588/2016).</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559248" w:name="note2"/>
            <w:bookmarkEnd w:id="78559248"/>
            <w:bookmarkStart w:id="117385074637" w:name="note2"/>
            <w:r>
              <w:rPr>
                <w:rFonts w:ascii="Arial" w:hAnsi="Arial" w:eastAsia="Arial" w:cs="Arial"/>
                <w:b/>
                <w:bCs/>
                <w:color w:val="000000"/>
                <w:position w:val="0"/>
                <w:sz w:val="20"/>
                <w:szCs w:val="20"/>
              </w:rPr>
              <w:t xml:space="preserve">[2]</w:t>
            </w:r>
            <w:bookmarkEnd w:id="1173850746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Begründung können bspw finanzielle Aufwendungen zur
Erfüllung einer bestehenden Obsorgeverpflichtung für minderjährige
Kinder, bestehende Unterhaltsverpflichtungen, das zeitliche
Zusammenfallen mehrerer Nachzahlungen oder geringes Einkommen
angeführt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Zahlungserleichterungsbescheide iSd § 212 BAO sind
antragsgebundene Verwaltungsakte, wobei aber Abgaben, die mit den
vom Ansuchen erfassten Abgaben zusammengefasst verbucht werden,
miteinbezogen werden können. § 212 Abs 1 BAO ermöglicht
eine vom Ansuchen abweichende Einbeziehung von Abgaben für den
Fall, dass die Gebarung dieser Abgaben zusammengefasst verbucht
wird. § 212 Abs 2 BAO differenziert hingegen nicht
danach, ob die nachträglich herabgesetzte Abgabenschuld gemeinsam
mit anderen (gestundeten) Abgaben verbucht wurde (VwGH
2012/13/0114).</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003843" w:name="note3"/>
            <w:bookmarkEnd w:id="45003843"/>
            <w:bookmarkStart w:id="5904738661296" w:name="note3"/>
            <w:r>
              <w:rPr>
                <w:rFonts w:ascii="Arial" w:hAnsi="Arial" w:eastAsia="Arial" w:cs="Arial"/>
                <w:b/>
                <w:bCs/>
                <w:color w:val="000000"/>
                <w:position w:val="0"/>
                <w:sz w:val="20"/>
                <w:szCs w:val="20"/>
              </w:rPr>
              <w:t xml:space="preserve">[3]</w:t>
            </w:r>
            <w:bookmarkEnd w:id="59047386612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bereits eine Gefährdung der Einbringlichkeit, dann ist
für die Gewährung von Zahlungserleichterungen ebenso kein Raum, als
wenn die Einbringlichkeit erst durch die Zahlungserleichterung
gefährdet wäre (BFG 22.05.2020, RV/7100280/2020).</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003586" w:name="note4"/>
            <w:bookmarkEnd w:id="65003586"/>
            <w:bookmarkStart w:id="6996156127958" w:name="note4"/>
            <w:r>
              <w:rPr>
                <w:rFonts w:ascii="Arial" w:hAnsi="Arial" w:eastAsia="Arial" w:cs="Arial"/>
                <w:b/>
                <w:bCs/>
                <w:color w:val="000000"/>
                <w:position w:val="0"/>
                <w:sz w:val="20"/>
                <w:szCs w:val="20"/>
              </w:rPr>
              <w:t xml:space="preserve">[4]</w:t>
            </w:r>
            <w:bookmarkEnd w:id="699615612795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Gefährdung der Einbringlichkeit ist nicht anzunehmen, wenn
der Abgabepflichtige glaubhaft macht, dass er durch die Gewährung
der Zahlungserleichterung in die Lage versetzt wird, die vom
Zahlungserleichterungsansuchen umfassten Abgabenschuldigkeiten
innerhalb einer angemessenen Frist entrichten zu können. Die
Bewilligung der Entrichtung in Raten kann nur für die Gesamtsumme
der in der Gebarungsverrechnung (§ 213) enthaltenen Abgaben
oder bei Gesamtschuldverhältnissen für alle Abgaben des
Gesamtschuldverhältnisses erfolgen. Bei Ratenbewilligungen sind der
Höhe nach bescheidmäßig festgesetzte Abgabenschuldigkeiten
einzubeziehen, wenn deren Zahlungstermine in die Laufzeit der
Ratenbewilligung fallen.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630929" w:name="note5"/>
            <w:bookmarkEnd w:id="87630929"/>
            <w:bookmarkStart w:id="9975572712266" w:name="note5"/>
            <w:r>
              <w:rPr>
                <w:rFonts w:ascii="Arial" w:hAnsi="Arial" w:eastAsia="Arial" w:cs="Arial"/>
                <w:b/>
                <w:bCs/>
                <w:color w:val="000000"/>
                <w:position w:val="0"/>
                <w:sz w:val="20"/>
                <w:szCs w:val="20"/>
              </w:rPr>
              <w:t xml:space="preserve">[5]</w:t>
            </w:r>
            <w:bookmarkEnd w:id="99755727122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Stundungszinsen stellen einen eigenständigen Nebenanspruch dar,
der gem §§ 3, 4 und 212 Abs 2 BAO laufend mit der
Stundung entsteht. Nach dem Grundsatz der Zeitbezogenheit der
Abgaben ist für die Bemessung der Stundungszinsen die jeweils im
Zeitpunkt der Entstehung des Abgabenanspruches geltende Rechtslage
heranzuziehen (VwGH Ro 2015/15/0044).</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93514">
    <w:multiLevelType w:val="hybridMultilevel"/>
    <w:lvl w:ilvl="0" w:tplc="21205328">
      <w:start w:val="1"/>
      <w:numFmt w:val="decimal"/>
      <w:lvlText w:val="%1."/>
      <w:lvlJc w:val="left"/>
      <w:pPr>
        <w:ind w:left="720" w:hanging="360"/>
      </w:pPr>
    </w:lvl>
    <w:lvl w:ilvl="1" w:tplc="21205328" w:tentative="1">
      <w:start w:val="1"/>
      <w:numFmt w:val="lowerLetter"/>
      <w:lvlText w:val="%2."/>
      <w:lvlJc w:val="left"/>
      <w:pPr>
        <w:ind w:left="1440" w:hanging="360"/>
      </w:pPr>
    </w:lvl>
    <w:lvl w:ilvl="2" w:tplc="21205328" w:tentative="1">
      <w:start w:val="1"/>
      <w:numFmt w:val="lowerRoman"/>
      <w:lvlText w:val="%3."/>
      <w:lvlJc w:val="right"/>
      <w:pPr>
        <w:ind w:left="2160" w:hanging="180"/>
      </w:pPr>
    </w:lvl>
    <w:lvl w:ilvl="3" w:tplc="21205328" w:tentative="1">
      <w:start w:val="1"/>
      <w:numFmt w:val="decimal"/>
      <w:lvlText w:val="%4."/>
      <w:lvlJc w:val="left"/>
      <w:pPr>
        <w:ind w:left="2880" w:hanging="360"/>
      </w:pPr>
    </w:lvl>
    <w:lvl w:ilvl="4" w:tplc="21205328" w:tentative="1">
      <w:start w:val="1"/>
      <w:numFmt w:val="lowerLetter"/>
      <w:lvlText w:val="%5."/>
      <w:lvlJc w:val="left"/>
      <w:pPr>
        <w:ind w:left="3600" w:hanging="360"/>
      </w:pPr>
    </w:lvl>
    <w:lvl w:ilvl="5" w:tplc="21205328" w:tentative="1">
      <w:start w:val="1"/>
      <w:numFmt w:val="lowerRoman"/>
      <w:lvlText w:val="%6."/>
      <w:lvlJc w:val="right"/>
      <w:pPr>
        <w:ind w:left="4320" w:hanging="180"/>
      </w:pPr>
    </w:lvl>
    <w:lvl w:ilvl="6" w:tplc="21205328" w:tentative="1">
      <w:start w:val="1"/>
      <w:numFmt w:val="decimal"/>
      <w:lvlText w:val="%7."/>
      <w:lvlJc w:val="left"/>
      <w:pPr>
        <w:ind w:left="5040" w:hanging="360"/>
      </w:pPr>
    </w:lvl>
    <w:lvl w:ilvl="7" w:tplc="21205328" w:tentative="1">
      <w:start w:val="1"/>
      <w:numFmt w:val="lowerLetter"/>
      <w:lvlText w:val="%8."/>
      <w:lvlJc w:val="left"/>
      <w:pPr>
        <w:ind w:left="5760" w:hanging="360"/>
      </w:pPr>
    </w:lvl>
    <w:lvl w:ilvl="8" w:tplc="21205328" w:tentative="1">
      <w:start w:val="1"/>
      <w:numFmt w:val="lowerRoman"/>
      <w:lvlText w:val="%9."/>
      <w:lvlJc w:val="right"/>
      <w:pPr>
        <w:ind w:left="6480" w:hanging="180"/>
      </w:pPr>
    </w:lvl>
  </w:abstractNum>
  <w:abstractNum w:abstractNumId="22293513">
    <w:multiLevelType w:val="hybridMultilevel"/>
    <w:lvl w:ilvl="0" w:tplc="49229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93513">
    <w:abstractNumId w:val="22293513"/>
  </w:num>
  <w:num w:numId="22293514">
    <w:abstractNumId w:val="222935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47435176" Type="http://schemas.openxmlformats.org/officeDocument/2006/relationships/numbering" Target="numbering.xml"/><Relationship Id="rId24315688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