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74605010" w:name="document"/>
    <w:bookmarkEnd w:id="74605010"/>
    <w:p/>
    <w:p>
      <w:pPr>
        <w:widowControl w:val="on"/>
        <w:pBdr/>
        <w:spacing w:before="0" w:after="280" w:line="240" w:lineRule="auto"/>
        <w:ind w:left="0" w:right="0"/>
        <w:jc w:val="left"/>
      </w:pPr>
      <w:r>
        <w:rPr>
          <w:rFonts w:ascii="Arial" w:hAnsi="Arial" w:eastAsia="Arial" w:cs="Arial"/>
          <w:color w:val="363A40"/>
          <w:sz w:val="24"/>
          <w:szCs w:val="24"/>
        </w:rPr>
        <w:t xml:space="preserve">Dokument-ID: 1008750 | Armin Obermayr - Albert
Scherzer | Muster | Schriftsatzmuster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Antrag auf Verzicht der Ist-Besteuerung (§ 17 UStG) –
Freiberufler</w:t>
      </w:r>
    </w:p>
    <w:p>
      <w:pPr>
        <w:widowControl w:val="on"/>
        <w:pBdr/>
        <w:spacing w:before="140" w:after="240" w:line="288" w:lineRule="auto"/>
        <w:ind w:left="0" w:right="0"/>
        <w:jc w:val="left"/>
      </w:pPr>
      <w:r>
        <w:rPr>
          <w:rFonts w:ascii="Arial" w:hAnsi="Arial" w:eastAsia="Arial" w:cs="Arial"/>
          <w:color w:val="000000"/>
          <w:sz w:val="20"/>
          <w:szCs w:val="20"/>
        </w:rPr>
        <w:t xml:space="preserve">… [Briefkopf Unternehmen]</w:t>
      </w:r>
      <w:r>
        <w:rPr>
          <w:rFonts w:ascii="Arial" w:hAnsi="Arial" w:eastAsia="Arial" w:cs="Arial"/>
          <w:color w:val="000000"/>
          <w:sz w:val="20"/>
          <w:szCs w:val="20"/>
        </w:rPr>
        <w:br/>
        <w:t xml:space="preserve">+ Steuernummer</w:t>
      </w:r>
    </w:p>
    <w:p>
      <w:pPr>
        <w:widowControl w:val="on"/>
        <w:pBdr/>
        <w:spacing w:before="140" w:after="240" w:line="288" w:lineRule="auto"/>
        <w:ind w:left="0" w:right="0"/>
        <w:jc w:val="left"/>
      </w:pPr>
      <w:r>
        <w:rPr>
          <w:rFonts w:ascii="Arial" w:hAnsi="Arial" w:eastAsia="Arial" w:cs="Arial"/>
          <w:color w:val="000000"/>
          <w:sz w:val="20"/>
          <w:szCs w:val="20"/>
        </w:rPr>
        <w:t xml:space="preserve">An</w:t>
      </w:r>
      <w:r>
        <w:rPr>
          <w:rFonts w:ascii="Arial" w:hAnsi="Arial" w:eastAsia="Arial" w:cs="Arial"/>
          <w:color w:val="000000"/>
          <w:sz w:val="20"/>
          <w:szCs w:val="20"/>
        </w:rPr>
        <w:br/>
        <w:t xml:space="preserve">… [Name und Adresse Finanzamt]</w:t>
      </w:r>
    </w:p>
    <w:p>
      <w:pPr>
        <w:widowControl w:val="on"/>
        <w:pBdr/>
        <w:spacing w:before="140" w:after="240" w:line="288" w:lineRule="auto"/>
        <w:ind w:left="0" w:right="0"/>
        <w:jc w:val="right"/>
      </w:pPr>
      <w:r>
        <w:rPr>
          <w:rFonts w:ascii="Arial" w:hAnsi="Arial" w:eastAsia="Arial" w:cs="Arial"/>
          <w:color w:val="000000"/>
          <w:sz w:val="20"/>
          <w:szCs w:val="20"/>
        </w:rPr>
        <w:t xml:space="preserve">…, am …</w:t>
      </w:r>
    </w:p>
    <w:p>
      <w:pPr>
        <w:widowControl w:val="on"/>
        <w:pBdr/>
        <w:spacing w:before="240" w:after="60" w:line="346" w:lineRule="auto"/>
        <w:ind w:left="0" w:right="0"/>
        <w:jc w:val="left"/>
        <w:outlineLvl w:val="1"/>
      </w:pPr>
      <w:r>
        <w:rPr>
          <w:rFonts w:ascii="Arial" w:hAnsi="Arial" w:eastAsia="Arial" w:cs="Arial"/>
          <w:b/>
          <w:bCs/>
          <w:color w:val="363A40"/>
          <w:sz w:val="28"/>
          <w:szCs w:val="28"/>
        </w:rPr>
        <w:t xml:space="preserve">Verzicht auf Anwendung der Ist-Besteuerung</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 [Steuernummer Unternehmen]</w:t>
      </w:r>
    </w:p>
    <w:p>
      <w:pPr>
        <w:widowControl w:val="on"/>
        <w:pBdr/>
        <w:spacing w:before="140" w:after="240" w:line="288" w:lineRule="auto"/>
        <w:ind w:left="0" w:right="0"/>
        <w:jc w:val="left"/>
      </w:pPr>
      <w:r>
        <w:rPr>
          <w:rFonts w:ascii="Arial" w:hAnsi="Arial" w:eastAsia="Arial" w:cs="Arial"/>
          <w:color w:val="000000"/>
          <w:sz w:val="20"/>
          <w:szCs w:val="20"/>
        </w:rPr>
        <w:t xml:space="preserve">Sehr geehrte Damen und Herren,</w:t>
      </w:r>
    </w:p>
    <w:p>
      <w:pPr>
        <w:widowControl w:val="on"/>
        <w:pBdr/>
        <w:spacing w:before="140" w:after="240" w:line="288" w:lineRule="auto"/>
        <w:ind w:left="0" w:right="0"/>
        <w:jc w:val="left"/>
      </w:pPr>
      <w:r>
        <w:rPr>
          <w:rFonts w:ascii="Arial" w:hAnsi="Arial" w:eastAsia="Arial" w:cs="Arial"/>
          <w:color w:val="000000"/>
          <w:sz w:val="20"/>
          <w:szCs w:val="20"/>
        </w:rPr>
        <w:t xml:space="preserve">wir teilen Ihnen mit, dass wir ab … [Datum] auf die Anwendung
der Besteuerung nach vereinnahmten Entgelten gem § 17
Abs 1 UStG („Istbesteuerung“) verzichten und zur Besteuerung
nach vereinbarten Entgelten („Sollbesteuerung“) wechseln.</w:t>
      </w:r>
    </w:p>
    <w:p>
      <w:pPr>
        <w:widowControl w:val="on"/>
        <w:pBdr/>
        <w:spacing w:before="140" w:after="240" w:line="288" w:lineRule="auto"/>
        <w:ind w:left="0" w:right="0"/>
        <w:jc w:val="left"/>
      </w:pPr>
      <w:r>
        <w:rPr>
          <w:rFonts w:ascii="Arial" w:hAnsi="Arial" w:eastAsia="Arial" w:cs="Arial"/>
          <w:color w:val="000000"/>
          <w:sz w:val="20"/>
          <w:szCs w:val="20"/>
        </w:rPr>
        <w:t xml:space="preserve">Der hiermit eingebrachte Antrag auf Sollbesteuerung muss
spätestens zum Termin der Abgabe (Erstellung) der ersten
Voranmeldung für diesen Veranlagungszeitraum gestellt werden, was
hiermit zeitgerecht erfolgt ist.</w:t>
      </w:r>
    </w:p>
    <w:p>
      <w:pPr>
        <w:widowControl w:val="on"/>
        <w:pBdr/>
        <w:spacing w:before="140" w:after="240" w:line="288" w:lineRule="auto"/>
        <w:ind w:left="0" w:right="0"/>
        <w:jc w:val="left"/>
      </w:pPr>
      <w:r>
        <w:rPr>
          <w:rFonts w:ascii="Arial" w:hAnsi="Arial" w:eastAsia="Arial" w:cs="Arial"/>
          <w:color w:val="000000"/>
          <w:sz w:val="20"/>
          <w:szCs w:val="20"/>
        </w:rPr>
        <w:t xml:space="preserve">Für Rückfragen stehen wir gerne zur Verfügung.</w:t>
      </w:r>
    </w:p>
    <w:p>
      <w:pPr>
        <w:widowControl w:val="on"/>
        <w:pBdr/>
        <w:spacing w:before="140" w:after="240" w:line="288" w:lineRule="auto"/>
        <w:ind w:left="0" w:right="0"/>
        <w:jc w:val="left"/>
      </w:pPr>
      <w:r>
        <w:rPr>
          <w:rFonts w:ascii="Arial" w:hAnsi="Arial" w:eastAsia="Arial" w:cs="Arial"/>
          <w:color w:val="000000"/>
          <w:sz w:val="20"/>
          <w:szCs w:val="20"/>
        </w:rPr>
        <w:t xml:space="preserve">Mit freundlichen Grüßen</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Unterschrift</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8219489" w:name="note1"/>
            <w:bookmarkEnd w:id="18219489"/>
            <w:bookmarkStart w:id="3981004755209" w:name="note1"/>
            <w:r>
              <w:rPr>
                <w:rFonts w:ascii="Arial" w:hAnsi="Arial" w:eastAsia="Arial" w:cs="Arial"/>
                <w:b/>
                <w:bCs/>
                <w:color w:val="000000"/>
                <w:position w:val="0"/>
                <w:sz w:val="20"/>
                <w:szCs w:val="20"/>
              </w:rPr>
              <w:t xml:space="preserve">[1]</w:t>
            </w:r>
            <w:bookmarkEnd w:id="3981004755209"/>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Ein Antrag für die Berechnung der Steuer nach vereinbarten
Entgelten muss vor Beginn des Veranlagungszeitraums spätestens aber
bei Abgabe (Erstellung) der ersten Voranmeldung für diesen
Veranlagungszeitraum gestellt werden (VwGH Ra 2022/15/0062).</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vom österreichischen Gesetzgeber in § 17 Abs 1
UStG getroffene Bestimmung, wonach zusätzlich zu Unternehmern, die
eine Tätigkeit iSd § 22 Z 1 EStG 1988 ausüben, nur jene
einer freiberuflichen Tätigkeit entsprechende Leistungen
erbringenden Gesellschaften, die auch berufsrechtlich zugelassen
sind, die Steuer nach den vereinnahmten Entgelten zu berechnen
haben, folgt nicht dem unionsrechtlich vorgegebenen Rahmen. Eine
solche Regelung verstößt gegen den dem Mehrwertsteuersystem
zugrundeliegenden Gleichbehandlungsgrundsatz und die
Rechtsformneutralität, weil keine sachlichen Gründe für den
Ausschluss anderer Gesellschaften, die gleichfalls der Art nach
freiberufliche Tätigkeiten iSd § 22 Z 1 EStG 1988
erbringen (wie etwa eine Unternehmensberatungs-GmbH), von der
Istbesteuerung bestehen. Eine entsprechende Änderung des § 17
UStG ist bereits erfolgt (seit 01.01.2019, siehe auch VwGH Ro
2015/15/0045). Das Ist-System ist für den Unternehmer gegenüber dem
Soll-System in der Regel günstiger, weil er die Umsatzsteuer an das
Finanzamt erst abführen muss, nachdem er das Geld vom Kunden
erhalten hat. Im Soll-System ist die Umsatzsteuer auch von
Außenständen zu entrichten.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57280731" w:name="note2"/>
            <w:bookmarkEnd w:id="57280731"/>
            <w:bookmarkStart w:id="8039917984470" w:name="note2"/>
            <w:r>
              <w:rPr>
                <w:rFonts w:ascii="Arial" w:hAnsi="Arial" w:eastAsia="Arial" w:cs="Arial"/>
                <w:b/>
                <w:bCs/>
                <w:color w:val="000000"/>
                <w:position w:val="0"/>
                <w:sz w:val="20"/>
                <w:szCs w:val="20"/>
              </w:rPr>
              <w:t xml:space="preserve">[2]</w:t>
            </w:r>
            <w:bookmarkEnd w:id="8039917984470"/>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Antrag ist bis zum Abgabetermin der ersten
Umsatzsteuervoranmeldung für den Veranlagungszeitraum (in der Regel
das Kalenderjahr) einzubringen. Dies ist daher normalerweise der
Termin der Umsatzsteuervormeldung für Jänner, also bis zum 15.März
des neuen Jahres. Es hat bereits für den ersten
Voranmeldungszeitraum festzustehen, nach welcher Besteuerungsart
vorzugehen ist, da der Unternehmer erst nach seiner Entscheidung,
nach welchem System er die Besteuerung vornimmt, seine
Aufzeichnungs- und Erklärungspflichten ordnungsgemäß erfüllen kann
(vgl </w:t>
            </w:r>
            <w:r>
              <w:rPr>
                <w:rFonts w:ascii="Arial" w:hAnsi="Arial" w:eastAsia="Arial" w:cs="Arial"/>
                <w:i/>
                <w:iCs/>
                <w:color w:val="000000"/>
                <w:position w:val="0"/>
                <w:sz w:val="20"/>
                <w:szCs w:val="20"/>
              </w:rPr>
              <w:t xml:space="preserve">Kolacny/Mayer</w:t>
            </w:r>
            <w:r>
              <w:rPr>
                <w:rFonts w:ascii="Arial" w:hAnsi="Arial" w:eastAsia="Arial" w:cs="Arial"/>
                <w:color w:val="000000"/>
                <w:position w:val="0"/>
                <w:sz w:val="20"/>
                <w:szCs w:val="20"/>
              </w:rPr>
              <w:t xml:space="preserve">, Umsatzsteuergesetz 19942, S 538,
</w:t>
            </w:r>
            <w:r>
              <w:rPr>
                <w:rFonts w:ascii="Arial" w:hAnsi="Arial" w:eastAsia="Arial" w:cs="Arial"/>
                <w:i/>
                <w:iCs/>
                <w:color w:val="000000"/>
                <w:position w:val="0"/>
                <w:sz w:val="20"/>
                <w:szCs w:val="20"/>
              </w:rPr>
              <w:t xml:space="preserve">Ruppe</w:t>
            </w:r>
            <w:r>
              <w:rPr>
                <w:rFonts w:ascii="Arial" w:hAnsi="Arial" w:eastAsia="Arial" w:cs="Arial"/>
                <w:color w:val="000000"/>
                <w:position w:val="0"/>
                <w:sz w:val="20"/>
                <w:szCs w:val="20"/>
              </w:rPr>
              <w:t xml:space="preserve">, Umsatzsteuergesetz 1994</w:t>
            </w:r>
            <w:r>
              <w:rPr>
                <w:rFonts w:ascii="Arial" w:hAnsi="Arial" w:eastAsia="Arial" w:cs="Arial"/>
                <w:color w:val="000000"/>
                <w:position w:val="3"/>
                <w:sz w:val="18"/>
                <w:szCs w:val="18"/>
                <w:vertAlign w:val="superscript"/>
              </w:rPr>
              <w:t xml:space="preserve">2</w:t>
            </w:r>
            <w:r>
              <w:rPr>
                <w:rFonts w:ascii="Arial" w:hAnsi="Arial" w:eastAsia="Arial" w:cs="Arial"/>
                <w:color w:val="000000"/>
                <w:position w:val="0"/>
                <w:sz w:val="20"/>
                <w:szCs w:val="20"/>
              </w:rPr>
              <w:t xml:space="preserve">, Tz 26 zu
§ 17).</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2470575" w:name="note3"/>
            <w:bookmarkEnd w:id="62470575"/>
            <w:bookmarkStart w:id="7290496778571" w:name="note3"/>
            <w:r>
              <w:rPr>
                <w:rFonts w:ascii="Arial" w:hAnsi="Arial" w:eastAsia="Arial" w:cs="Arial"/>
                <w:b/>
                <w:bCs/>
                <w:color w:val="000000"/>
                <w:position w:val="0"/>
                <w:sz w:val="20"/>
                <w:szCs w:val="20"/>
              </w:rPr>
              <w:t xml:space="preserve">[3]</w:t>
            </w:r>
            <w:bookmarkEnd w:id="7290496778571"/>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Werden von einem Freiberufler mehrere Betriebe unterhalten (zB
Steuerberatung und Wirtschaftsprüfung; Arzt und Hausapotheke etc),
sieht das Gesetz nicht vor, dass das Abgehen von der
Ist-Besteuerung auf einzelne Betriebe des Freiberuflers
eingeschränkt werden kann.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34892575" w:name="note4"/>
            <w:bookmarkEnd w:id="34892575"/>
            <w:bookmarkStart w:id="4170037121018" w:name="note4"/>
            <w:r>
              <w:rPr>
                <w:rFonts w:ascii="Arial" w:hAnsi="Arial" w:eastAsia="Arial" w:cs="Arial"/>
                <w:b/>
                <w:bCs/>
                <w:color w:val="000000"/>
                <w:position w:val="0"/>
                <w:sz w:val="20"/>
                <w:szCs w:val="20"/>
              </w:rPr>
              <w:t xml:space="preserve">[4]</w:t>
            </w:r>
            <w:bookmarkEnd w:id="4170037121018"/>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Bei Verzicht auf die Ist-Besteuerung ist sicherzustellen, dass
keine Umsätze – aber auch keine Vorsteuern – doppelt erfasst oder
nicht erfasst werden. Deshalb sind bereits erbrachte, aber noch
nicht bezahlte Leistungen in der ersten USt-Voranmeldung nach
Übergang auf die Sollbesteuerung als Umsätze zu erfassen, während
Vorsteuern für noch nicht bezahlte aber bereits fakturierte
Leistungen in der ersten Umsatzsteuervoranmeldung nach Übergang auf
die Sollbesteuerung geltend gemacht werden können.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79930313" w:name="note5"/>
            <w:bookmarkEnd w:id="79930313"/>
            <w:bookmarkStart w:id="7213776664399" w:name="note5"/>
            <w:r>
              <w:rPr>
                <w:rFonts w:ascii="Arial" w:hAnsi="Arial" w:eastAsia="Arial" w:cs="Arial"/>
                <w:b/>
                <w:bCs/>
                <w:color w:val="000000"/>
                <w:position w:val="0"/>
                <w:sz w:val="20"/>
                <w:szCs w:val="20"/>
              </w:rPr>
              <w:t xml:space="preserve">[5]</w:t>
            </w:r>
            <w:bookmarkEnd w:id="7213776664399"/>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Antrag auf Sollbesteuerung kann spätestens zum Termin der
Abgabe der ersten Voranmeldung des Folgejahres widerrufen
werden:</w:t>
            </w:r>
          </w:p>
          <w:p>
            <w:pPr>
              <w:widowControl w:val="on"/>
              <w:pBdr/>
              <w:spacing w:before="0" w:after="0" w:line="288" w:lineRule="auto"/>
              <w:ind w:left="0" w:right="0"/>
              <w:jc w:val="left"/>
              <w:textAlignment w:val="top"/>
            </w:pPr>
            <w:r>
              <w:rPr>
                <w:rFonts w:ascii="Arial" w:hAnsi="Arial" w:eastAsia="Arial" w:cs="Arial"/>
                <w:b/>
                <w:bCs/>
                <w:color w:val="277DB9"/>
                <w:position w:val="0"/>
                <w:sz w:val="25"/>
                <w:szCs w:val="25"/>
              </w:rPr>
              <w:t xml:space="preserve">Musterformulierung:</w:t>
            </w:r>
          </w:p>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Wir teilen Ihnen mit, dass wir ab … [Datum] von der Besteuerung
nach vereinbarten Entgelten („Sollbesteuerung“) zur Besteuerung
nach vereinnahmten Entgelten wechseln.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2982430" w:name="note6"/>
            <w:bookmarkEnd w:id="12982430"/>
            <w:bookmarkStart w:id="4667311372935" w:name="note6"/>
            <w:r>
              <w:rPr>
                <w:rFonts w:ascii="Arial" w:hAnsi="Arial" w:eastAsia="Arial" w:cs="Arial"/>
                <w:b/>
                <w:bCs/>
                <w:color w:val="000000"/>
                <w:position w:val="0"/>
                <w:sz w:val="20"/>
                <w:szCs w:val="20"/>
              </w:rPr>
              <w:t xml:space="preserve">[6]</w:t>
            </w:r>
            <w:bookmarkEnd w:id="4667311372935"/>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Ob Kapitalgesellschaften, die der freiberuflichen Tätigkeit
entsprechende Leistungen erbringen, der Istbesteuerung unterliegen,
hängt davon ab, ob sie nach dem jeweiligen Berufsrecht zugelassen
sind (VwGH Ro 2015/15/0045).</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92318359" w:name="note7"/>
            <w:bookmarkEnd w:id="92318359"/>
            <w:bookmarkStart w:id="8736958136138" w:name="note7"/>
            <w:r>
              <w:rPr>
                <w:rFonts w:ascii="Arial" w:hAnsi="Arial" w:eastAsia="Arial" w:cs="Arial"/>
                <w:b/>
                <w:bCs/>
                <w:color w:val="000000"/>
                <w:position w:val="0"/>
                <w:sz w:val="20"/>
                <w:szCs w:val="20"/>
              </w:rPr>
              <w:t xml:space="preserve">[7]</w:t>
            </w:r>
            <w:bookmarkEnd w:id="8736958136138"/>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Seit 01.01.2019 wurde die Ist-Besteuerung auf Unternehmer, die
der Art nach eine (im Einkommensteuergesetz aufgezählte)
freiberufliche Tätigkeit ausüben, erweitert. Aus diesem Grund sind
nunmehr auch die freiberuflichen Kapitalgesellschaften, ohne das
Erfordernis einer berufsrechtlichen Zulassung, von der
Ist-Besteuerung umfasst.</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34457637" w:name="note8"/>
            <w:bookmarkEnd w:id="34457637"/>
            <w:bookmarkStart w:id="4521886572678" w:name="note8"/>
            <w:r>
              <w:rPr>
                <w:rFonts w:ascii="Arial" w:hAnsi="Arial" w:eastAsia="Arial" w:cs="Arial"/>
                <w:b/>
                <w:bCs/>
                <w:color w:val="000000"/>
                <w:position w:val="0"/>
                <w:sz w:val="20"/>
                <w:szCs w:val="20"/>
              </w:rPr>
              <w:t xml:space="preserve">[8]</w:t>
            </w:r>
            <w:bookmarkEnd w:id="4521886572678"/>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Bei der Istbesteuerung entsteht die Steuerschuld generell erst
mit Ablauf des Monats, in dem der leistende Unternehmer das Entgelt
vereinnahmt. Die Istbesteuerung findet vor allem für kleinere
Unternehmer, zB nicht buchführungspflichtige Gewerbebetriebe oder
Vermieter Anwendung. Freiberufler und bestimmte
Versorgungsunternehmen können die Istbesteuerung, unabhängig von
der Umsatzhöhe, anwenden. Ein Verzicht auf die Istbesteuerung und
die Versteuerung nach Soll-Grundsätzen ist auf Antrag für alle
Istbesteuerer zulässig.</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537507">
    <w:multiLevelType w:val="hybridMultilevel"/>
    <w:lvl w:ilvl="0" w:tplc="44834781">
      <w:start w:val="1"/>
      <w:numFmt w:val="decimal"/>
      <w:lvlText w:val="%1."/>
      <w:lvlJc w:val="left"/>
      <w:pPr>
        <w:ind w:left="720" w:hanging="360"/>
      </w:pPr>
    </w:lvl>
    <w:lvl w:ilvl="1" w:tplc="44834781" w:tentative="1">
      <w:start w:val="1"/>
      <w:numFmt w:val="lowerLetter"/>
      <w:lvlText w:val="%2."/>
      <w:lvlJc w:val="left"/>
      <w:pPr>
        <w:ind w:left="1440" w:hanging="360"/>
      </w:pPr>
    </w:lvl>
    <w:lvl w:ilvl="2" w:tplc="44834781" w:tentative="1">
      <w:start w:val="1"/>
      <w:numFmt w:val="lowerRoman"/>
      <w:lvlText w:val="%3."/>
      <w:lvlJc w:val="right"/>
      <w:pPr>
        <w:ind w:left="2160" w:hanging="180"/>
      </w:pPr>
    </w:lvl>
    <w:lvl w:ilvl="3" w:tplc="44834781" w:tentative="1">
      <w:start w:val="1"/>
      <w:numFmt w:val="decimal"/>
      <w:lvlText w:val="%4."/>
      <w:lvlJc w:val="left"/>
      <w:pPr>
        <w:ind w:left="2880" w:hanging="360"/>
      </w:pPr>
    </w:lvl>
    <w:lvl w:ilvl="4" w:tplc="44834781" w:tentative="1">
      <w:start w:val="1"/>
      <w:numFmt w:val="lowerLetter"/>
      <w:lvlText w:val="%5."/>
      <w:lvlJc w:val="left"/>
      <w:pPr>
        <w:ind w:left="3600" w:hanging="360"/>
      </w:pPr>
    </w:lvl>
    <w:lvl w:ilvl="5" w:tplc="44834781" w:tentative="1">
      <w:start w:val="1"/>
      <w:numFmt w:val="lowerRoman"/>
      <w:lvlText w:val="%6."/>
      <w:lvlJc w:val="right"/>
      <w:pPr>
        <w:ind w:left="4320" w:hanging="180"/>
      </w:pPr>
    </w:lvl>
    <w:lvl w:ilvl="6" w:tplc="44834781" w:tentative="1">
      <w:start w:val="1"/>
      <w:numFmt w:val="decimal"/>
      <w:lvlText w:val="%7."/>
      <w:lvlJc w:val="left"/>
      <w:pPr>
        <w:ind w:left="5040" w:hanging="360"/>
      </w:pPr>
    </w:lvl>
    <w:lvl w:ilvl="7" w:tplc="44834781" w:tentative="1">
      <w:start w:val="1"/>
      <w:numFmt w:val="lowerLetter"/>
      <w:lvlText w:val="%8."/>
      <w:lvlJc w:val="left"/>
      <w:pPr>
        <w:ind w:left="5760" w:hanging="360"/>
      </w:pPr>
    </w:lvl>
    <w:lvl w:ilvl="8" w:tplc="44834781" w:tentative="1">
      <w:start w:val="1"/>
      <w:numFmt w:val="lowerRoman"/>
      <w:lvlText w:val="%9."/>
      <w:lvlJc w:val="right"/>
      <w:pPr>
        <w:ind w:left="6480" w:hanging="180"/>
      </w:pPr>
    </w:lvl>
  </w:abstractNum>
  <w:abstractNum w:abstractNumId="28537506">
    <w:multiLevelType w:val="hybridMultilevel"/>
    <w:lvl w:ilvl="0" w:tplc="992538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537506">
    <w:abstractNumId w:val="28537506"/>
  </w:num>
  <w:num w:numId="28537507">
    <w:abstractNumId w:val="2853750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479259749" Type="http://schemas.openxmlformats.org/officeDocument/2006/relationships/numbering" Target="numbering.xml"/><Relationship Id="rId566686841"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