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12688901" w:name="document"/>
    <w:bookmarkEnd w:id="12688901"/>
    <w:p/>
    <w:p>
      <w:pPr>
        <w:widowControl w:val="on"/>
        <w:pBdr/>
        <w:spacing w:before="0" w:after="280" w:line="240" w:lineRule="auto"/>
        <w:ind w:left="0" w:right="0"/>
        <w:jc w:val="left"/>
      </w:pPr>
      <w:r>
        <w:rPr>
          <w:rFonts w:ascii="Arial" w:hAnsi="Arial" w:eastAsia="Arial" w:cs="Arial"/>
          <w:color w:val="363A40"/>
          <w:sz w:val="24"/>
          <w:szCs w:val="24"/>
        </w:rPr>
        <w:t xml:space="preserve">Dokument-ID: 1009070 | Armin Obermayr - Albert
Scherzer | Muster | Textbaustein</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Beschwerde innergemeinschaftliche Lieferung Vertrauensschutz
aufgrund Art 7 Abs 4 UStG</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Die Steuerschuld des Abnehmers nach Art 7 Abs 4 UStG 1994
setzt voraus, dass der Abnehmer gegenüber dem Lieferanten falsche
Angaben gemacht hat, aufgrund welcher der Lieferant von einer
steuerfreien innergemeinschaftlichen Lieferung ausgehen konnte, und
dass der Lieferant die Unrichtigkeit dieser Angaben auch bei
Beachtung der Sorgfalt eines ordentlichen Kaufmanns nicht erkennen
konnte (VwGH Ra 2019/15/0125).</w:t>
      </w:r>
    </w:p>
    <w:p>
      <w:pPr>
        <w:widowControl w:val="on"/>
        <w:pBdr/>
        <w:spacing w:before="140" w:after="240" w:line="288" w:lineRule="auto"/>
        <w:ind w:left="0" w:right="0"/>
        <w:jc w:val="left"/>
      </w:pPr>
      <w:r>
        <w:rPr>
          <w:rFonts w:ascii="Arial" w:hAnsi="Arial" w:eastAsia="Arial" w:cs="Arial"/>
          <w:color w:val="000000"/>
          <w:sz w:val="20"/>
          <w:szCs w:val="20"/>
        </w:rPr>
        <w:br/>
        <w:t xml:space="preserve">Art 7 Abs 4 UStG</w:t>
      </w:r>
      <w:bookmarkStart w:id="67984672" w:name="link1"/>
      <w:bookmarkEnd w:id="67984672"/>
      <w:hyperlink w:anchor="note1" w:history="1">
        <w:r>
          <w:rPr>
            <w:rFonts w:ascii="Arial" w:hAnsi="Arial" w:eastAsia="Arial" w:cs="Arial"/>
            <w:b/>
            <w:bCs/>
            <w:color w:val="006BB6"/>
            <w:position w:val="4"/>
            <w:sz w:val="22"/>
            <w:szCs w:val="22"/>
            <w:vertAlign w:val="superscript"/>
          </w:rPr>
          <w:t xml:space="preserve">1</w:t>
        </w:r>
      </w:hyperlink>
      <w:r>
        <w:rPr>
          <w:rFonts w:ascii="Arial" w:hAnsi="Arial" w:eastAsia="Arial" w:cs="Arial"/>
          <w:color w:val="000000"/>
          <w:sz w:val="20"/>
          <w:szCs w:val="20"/>
        </w:rPr>
        <w:t xml:space="preserve"> sieht vor, dass eine Lieferung auch bei
Nichtvorlage der materiellen Voraussetzungen dennoch steuerfrei
bleibt, wenn der die Inanspruchnahme der Steuerbefreiung auf
unrichtigen Angaben des Abnehmers beruht und der Unternehmer die
Unrichtigkeit dieser Angaben auch bei Beachtung der
Sorgfaltspflicht eines ordentlichen Kaufmanns nicht erkennen
konnte. Die Steuerschuld gemäß Artikel 7 Abs 4 UStG 1994
stellt eine Umsatzsteuerschuld eigener Art dar, die Unternehmer und
Nichtunternehmer treffen kann (VwGH Ra 2019/15/0125). Maßgebend
sind nicht die persönlichen Fähigkeiten, Gewohnheiten und
Kenntnisse des Unternehmers, sondern ein objektiver Maßstab, das
Verhalten eines ordentlichen, gewissenhaften Kaufmannes, wobei der
Sorgfaltsmaßstab nach Geschäftszweigen differieren kann (vgl VwGH
18.12.2006, 2006/16/0070, VwSlg 8187 F/2006). Die Frage, ob die
erforderliche Sorgfalt eingehalten wurde, ist eine
Einzelfallbeurteilung, die aufgrund der Umstände des konkreten
Sachverhalts zu treffen ist. Ob der Steuerpflichtige vom
Mehrwertsteuerbetrug wusste oder zumindest hätte wissen müssen,
hängt von Tatfragen ab, die die Abgabenbehörde in freier
Beweiswürdigung im Rahmen einer Gesamtbetrachtung aller
maßgeblichen Umstände des Einzelfalls zu beurteilen hat (VwGH Ra
2020/13/0040).</w:t>
      </w:r>
    </w:p>
    <w:p>
      <w:pPr>
        <w:widowControl w:val="on"/>
        <w:pBdr/>
        <w:spacing w:before="0" w:after="105" w:line="288" w:lineRule="auto"/>
        <w:ind w:left="0" w:right="0"/>
        <w:jc w:val="left"/>
      </w:pPr>
      <w:r>
        <w:rPr>
          <w:rFonts w:ascii="Arial" w:hAnsi="Arial" w:eastAsia="Arial" w:cs="Arial"/>
          <w:b/>
          <w:bCs/>
          <w:color w:val="277DB9"/>
          <w:sz w:val="25"/>
          <w:szCs w:val="25"/>
        </w:rPr>
        <w:t xml:space="preserve">Achtung:</w:t>
      </w:r>
    </w:p>
    <w:p>
      <w:pPr>
        <w:widowControl w:val="on"/>
        <w:pBdr/>
        <w:spacing w:before="140" w:after="240" w:line="288" w:lineRule="auto"/>
        <w:ind w:left="0" w:right="0"/>
        <w:jc w:val="left"/>
      </w:pPr>
      <w:r>
        <w:rPr>
          <w:rFonts w:ascii="Arial" w:hAnsi="Arial" w:eastAsia="Arial" w:cs="Arial"/>
          <w:color w:val="277DB9"/>
          <w:sz w:val="20"/>
          <w:szCs w:val="20"/>
        </w:rPr>
        <w:t xml:space="preserve">Der Verwaltungsgerichtshof hat klar ausgesprochen, dass die
Vertrauensschutzregelung des Art 7 Abs 4 UStG in Fällen
des innergemeinschaftlichen Verbringens iSd Art 3 Abs 1
Z 1 UStG nicht greift, weil es diesfalls an einem Abnehmer
mangelt, welcher unrichtige Angaben geliefert hätte (VwGH Ra
2020/16/0060).</w:t>
      </w:r>
    </w:p>
    <w:p>
      <w:pPr>
        <w:widowControl w:val="on"/>
        <w:pBdr/>
        <w:spacing w:before="140" w:after="240" w:line="288" w:lineRule="auto"/>
        <w:ind w:left="0" w:right="0"/>
        <w:jc w:val="left"/>
      </w:pPr>
      <w:r>
        <w:rPr>
          <w:rFonts w:ascii="Arial" w:hAnsi="Arial" w:eastAsia="Arial" w:cs="Arial"/>
          <w:color w:val="000000"/>
          <w:sz w:val="20"/>
          <w:szCs w:val="20"/>
        </w:rPr>
        <w:t xml:space="preserve">Der Verwaltungsgerichtshof hat zudem klar ausgesprochen, dass
die Vertrauensschutzregelung des Art 7 Abs 4 UStG in
Fällen des innergemeinschaftlichen Verbringens iSd Art 3
Abs 1 Z 1 UStG nicht greift, weil es in diesem Fall an
einem Abnehmer mangelt, welcher unrichtige Angaben geliefert hätte
(VwGH Ra 2016/16/0059).</w:t>
      </w:r>
    </w:p>
    <w:p>
      <w:pPr>
        <w:widowControl w:val="on"/>
        <w:pBdr/>
        <w:spacing w:before="140" w:after="240" w:line="288" w:lineRule="auto"/>
        <w:ind w:left="0" w:right="0"/>
        <w:jc w:val="left"/>
      </w:pPr>
      <w:r>
        <w:rPr>
          <w:rFonts w:ascii="Arial" w:hAnsi="Arial" w:eastAsia="Arial" w:cs="Arial"/>
          <w:color w:val="000000"/>
          <w:sz w:val="20"/>
          <w:szCs w:val="20"/>
        </w:rPr>
        <w:t xml:space="preserve">Allein aufgrund der Tatsache, dass der Betroffene die formellen
Nachweise nicht vollständig erbracht hatte, da dieser im Abholfall
auf die schriftliche Erklärung des Abnehmers der Waren verzichtete,
hat er nicht mit der Sorgfalt eines ordentlichen Kaufmanns
gehandelt. Damit kann er sich nicht auf die
Vertrauensschutzregelung des Art 7 Abs 4 UStG berufen,
weil sie im Sinne dieser Bestimmung die von ihr in Anspruch
genommene Steuerbefreiung nicht auf vom Abnehmer gegebene
unrichtige Angaben stützen konnte (BFG 16.08.2019,
RV/7106037/2018).</w:t>
      </w:r>
    </w:p>
    <w:p>
      <w:pPr>
        <w:widowControl w:val="on"/>
        <w:pBdr/>
        <w:spacing w:before="140" w:after="240" w:line="288" w:lineRule="auto"/>
        <w:ind w:left="0" w:right="0"/>
        <w:jc w:val="left"/>
      </w:pPr>
      <w:r>
        <w:rPr>
          <w:rFonts w:ascii="Arial" w:hAnsi="Arial" w:eastAsia="Arial" w:cs="Arial"/>
          <w:color w:val="000000"/>
          <w:sz w:val="20"/>
          <w:szCs w:val="20"/>
        </w:rPr>
        <w:t xml:space="preserve">Tätigt ein Unternehmer vermeintliche (der Abnehmer ist eine
Briefkastenfirma) innergemeinschaftliche Lieferungen und verlässt
er sich dabei ausschließlich auf Fremdangaben Dritter, kann er sich
nicht auf die Vertrauensschutzregelung des Art 7 Abs 4
UStG berufen (BFG 08.11.2016, RV/2101017/2015).</w:t>
      </w:r>
    </w:p>
    <w:p>
      <w:r>
        <w:pict>
          <v:rect id="_x0000_i1026" style="width:0;height:1.5pt" o:hralign="center" o:hrstd="t" o:hr="t" o:hrnoshade="t" fillcolor="#a0a0a0" stroked="f"/>
        </w:pict>
      </w:r>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Zum Zeitpunkt der Lieferung war die UID-Nummer des Abnehmers
gültig und wurde auch vor Durchführung der Lieferung vom
Beschwerdeführer im Stufe-2-Verfahren überprüft. Auch wenn die
UID-Nummer rückwirkend vom Vergabeland gelöscht wurde, ändert dies
nichts daran, dass der Lieferant zum Zeitpunkt der Lieferung alles
Mögliche unternommen hat, um sich von der Redlichkeit des Abnehmers
zu </w:t>
      </w:r>
      <w:r>
        <w:rPr>
          <w:rFonts w:ascii="Arial" w:hAnsi="Arial" w:eastAsia="Arial" w:cs="Arial"/>
          <w:color w:val="277DB9"/>
          <w:sz w:val="20"/>
          <w:szCs w:val="20"/>
        </w:rPr>
        <w:t xml:space="preserve">vergewissern.</w:t>
      </w:r>
      <w:bookmarkStart w:id="49692620" w:name="link2"/>
      <w:bookmarkEnd w:id="49692620"/>
      <w:hyperlink w:anchor="note2" w:history="1">
        <w:r>
          <w:rPr>
            <w:rFonts w:ascii="Arial" w:hAnsi="Arial" w:eastAsia="Arial" w:cs="Arial"/>
            <w:b/>
            <w:bCs/>
            <w:color w:val="006BB6"/>
            <w:position w:val="4"/>
            <w:sz w:val="22"/>
            <w:szCs w:val="22"/>
            <w:vertAlign w:val="superscript"/>
          </w:rPr>
          <w:t xml:space="preserve">2</w:t>
        </w:r>
      </w:hyperlink>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Zum Zeitpunkt der Lieferung war die UID-Nummer des Abnehmers
gültig und wurde auch vor Durchführung der Lieferung vom
Beschwerdeführer im Stufe-1-Verfahren auf der Website der
EU-Kommission überprüft. Auf dieser Website wird nicht nur
angezeigt, ob die UID-Nummer gültig ist, sondern mit Ausnahme von
Deutschland werden auch die sonst im österreichischen Stufe 2
veröffentlichten Unternehmensangaben bekannt gegeben. Es ist
deshalb unerheblich, für welches Verfahren sich der
Beschwerdeführer entschieden hat, da beide Verfahren auf dieselbe
Datenbank zurückgreifen und dieselben Daten veröffentlichen.</w:t>
      </w:r>
    </w:p>
    <w:p>
      <w:pPr>
        <w:widowControl w:val="on"/>
        <w:pBdr/>
        <w:spacing w:before="0" w:after="105" w:line="288" w:lineRule="auto"/>
        <w:ind w:left="0" w:right="0"/>
        <w:jc w:val="left"/>
      </w:pPr>
      <w:r>
        <w:rPr>
          <w:rFonts w:ascii="Arial" w:hAnsi="Arial" w:eastAsia="Arial" w:cs="Arial"/>
          <w:b/>
          <w:bCs/>
          <w:color w:val="277DB9"/>
          <w:sz w:val="25"/>
          <w:szCs w:val="25"/>
        </w:rPr>
        <w:t xml:space="preserve">Variante 3:</w:t>
      </w:r>
    </w:p>
    <w:p>
      <w:pPr>
        <w:widowControl w:val="on"/>
        <w:pBdr/>
        <w:spacing w:before="140" w:after="240" w:line="288" w:lineRule="auto"/>
        <w:ind w:left="0" w:right="0"/>
        <w:jc w:val="left"/>
      </w:pPr>
      <w:r>
        <w:rPr>
          <w:rFonts w:ascii="Arial" w:hAnsi="Arial" w:eastAsia="Arial" w:cs="Arial"/>
          <w:color w:val="277DB9"/>
          <w:sz w:val="20"/>
          <w:szCs w:val="20"/>
        </w:rPr>
        <w:t xml:space="preserve">Es ist unstrittig, dass der Abnehmer zum Zeitpunkt der Lieferung
eine gültige UID-Nummer besaß und dies den Abgabebehörden bekannt
ist (BFG 16.4.2014, RV/710624/2010).</w:t>
      </w:r>
    </w:p>
    <w:p>
      <w:pPr>
        <w:widowControl w:val="on"/>
        <w:pBdr/>
        <w:spacing w:before="140" w:after="240" w:line="288" w:lineRule="auto"/>
        <w:ind w:left="0" w:right="0"/>
        <w:jc w:val="left"/>
      </w:pPr>
      <w:r>
        <w:rPr>
          <w:rFonts w:ascii="Arial" w:hAnsi="Arial" w:eastAsia="Arial" w:cs="Arial"/>
          <w:color w:val="000000"/>
          <w:sz w:val="20"/>
          <w:szCs w:val="20"/>
        </w:rPr>
        <w:t xml:space="preserve">Auch wenn die UID-Nummer rückwirkend vom Vergabeland gelöscht
wurde, ändert dies nichts daran, dass der Lieferant zum Zeitpunkt
der Lieferung alles Mögliche unternommen hat, um sich von der
Redlichkeit des Abnehmers zu vergewissern.</w:t>
      </w:r>
    </w:p>
    <w:p>
      <w:pPr>
        <w:widowControl w:val="on"/>
        <w:pBdr/>
        <w:spacing w:before="140" w:after="240" w:line="288" w:lineRule="auto"/>
        <w:ind w:left="0" w:right="0"/>
        <w:jc w:val="left"/>
      </w:pPr>
      <w:r>
        <w:rPr>
          <w:rFonts w:ascii="Arial" w:hAnsi="Arial" w:eastAsia="Arial" w:cs="Arial"/>
          <w:color w:val="000000"/>
          <w:sz w:val="20"/>
          <w:szCs w:val="20"/>
        </w:rPr>
        <w:t xml:space="preserve">Darüber hinaus hat der Lieferant Auszüge aus dem Firmenbuch des
Ansässigkeitsstaates des Kunden angefordert. Aus diesen ergaben
sich keine Auffälligkeiten, sodass der Lieferant sowohl auf die
tatsächliche Existenz des Abnehmers als auch die Beförderung der
Gegenstände in ein anderes EU-Land vertrauen </w:t>
      </w:r>
      <w:r>
        <w:rPr>
          <w:rFonts w:ascii="Arial" w:hAnsi="Arial" w:eastAsia="Arial" w:cs="Arial"/>
          <w:color w:val="000000"/>
          <w:sz w:val="20"/>
          <w:szCs w:val="20"/>
        </w:rPr>
        <w:t xml:space="preserve">konnte.</w:t>
      </w:r>
      <w:bookmarkStart w:id="40473895" w:name="link3"/>
      <w:bookmarkEnd w:id="40473895"/>
      <w:hyperlink w:anchor="note3" w:history="1">
        <w:r>
          <w:rPr>
            <w:rFonts w:ascii="Arial" w:hAnsi="Arial" w:eastAsia="Arial" w:cs="Arial"/>
            <w:b/>
            <w:bCs/>
            <w:color w:val="006BB6"/>
            <w:position w:val="4"/>
            <w:sz w:val="22"/>
            <w:szCs w:val="22"/>
            <w:vertAlign w:val="superscript"/>
          </w:rPr>
          <w:t xml:space="preserve">3</w:t>
        </w:r>
      </w:hyperlink>
    </w:p>
    <w:p>
      <w:pPr>
        <w:widowControl w:val="on"/>
        <w:pBdr/>
        <w:spacing w:before="140" w:after="240" w:line="288" w:lineRule="auto"/>
        <w:ind w:left="0" w:right="0"/>
        <w:jc w:val="left"/>
      </w:pPr>
      <w:r>
        <w:rPr>
          <w:rFonts w:ascii="Arial" w:hAnsi="Arial" w:eastAsia="Arial" w:cs="Arial"/>
          <w:color w:val="000000"/>
          <w:sz w:val="20"/>
          <w:szCs w:val="20"/>
        </w:rPr>
        <w:t xml:space="preserve">Aufgrund der Umstände der Geschäftsanbahnung und der Bezahlung
der Lieferung konnte der Beschwerdeführer keinen Verdacht
</w:t>
      </w:r>
      <w:r>
        <w:rPr>
          <w:rFonts w:ascii="Arial" w:hAnsi="Arial" w:eastAsia="Arial" w:cs="Arial"/>
          <w:color w:val="000000"/>
          <w:sz w:val="20"/>
          <w:szCs w:val="20"/>
        </w:rPr>
        <w:t xml:space="preserve">schöpfen,</w:t>
      </w:r>
      <w:bookmarkStart w:id="40992071" w:name="link4"/>
      <w:bookmarkEnd w:id="40992071"/>
      <w:hyperlink w:anchor="note4" w:history="1">
        <w:r>
          <w:rPr>
            <w:rFonts w:ascii="Arial" w:hAnsi="Arial" w:eastAsia="Arial" w:cs="Arial"/>
            <w:b/>
            <w:bCs/>
            <w:color w:val="006BB6"/>
            <w:position w:val="4"/>
            <w:sz w:val="22"/>
            <w:szCs w:val="22"/>
            <w:vertAlign w:val="superscript"/>
          </w:rPr>
          <w:t xml:space="preserve">4</w:t>
        </w:r>
      </w:hyperlink>
      <w:r>
        <w:rPr>
          <w:rFonts w:ascii="Arial" w:hAnsi="Arial" w:eastAsia="Arial" w:cs="Arial"/>
          <w:color w:val="000000"/>
          <w:sz w:val="20"/>
          <w:szCs w:val="20"/>
        </w:rPr>
        <w:t xml:space="preserve"> dass der Kunde die
Ware nicht in das EU-Ausland verschaffen würde oder Teil eines
Umsatzsteuerkarussells </w:t>
      </w:r>
      <w:r>
        <w:rPr>
          <w:rFonts w:ascii="Arial" w:hAnsi="Arial" w:eastAsia="Arial" w:cs="Arial"/>
          <w:color w:val="000000"/>
          <w:sz w:val="20"/>
          <w:szCs w:val="20"/>
        </w:rPr>
        <w:t xml:space="preserve">war.</w:t>
      </w:r>
      <w:bookmarkStart w:id="47523584" w:name="link5"/>
      <w:bookmarkEnd w:id="47523584"/>
      <w:hyperlink w:anchor="note5" w:history="1">
        <w:r>
          <w:rPr>
            <w:rFonts w:ascii="Arial" w:hAnsi="Arial" w:eastAsia="Arial" w:cs="Arial"/>
            <w:b/>
            <w:bCs/>
            <w:color w:val="006BB6"/>
            <w:position w:val="4"/>
            <w:sz w:val="22"/>
            <w:szCs w:val="22"/>
            <w:vertAlign w:val="superscript"/>
          </w:rPr>
          <w:t xml:space="preserve">5</w:t>
        </w:r>
      </w:hyperlink>
      <w:r>
        <w:rPr>
          <w:rFonts w:ascii="Arial" w:hAnsi="Arial" w:eastAsia="Arial" w:cs="Arial"/>
          <w:color w:val="000000"/>
          <w:sz w:val="20"/>
          <w:szCs w:val="20"/>
        </w:rPr>
        <w:t xml:space="preserve"> Seitens der Betriebsprüfung wurden auch
keine Anhaltspunkte aufgegriffen, anhand derer der Beschwerdeführer
von einem Umsatzsteuerkarussell </w:t>
      </w:r>
      <w:r>
        <w:rPr>
          <w:rFonts w:ascii="Arial" w:hAnsi="Arial" w:eastAsia="Arial" w:cs="Arial"/>
          <w:color w:val="000000"/>
          <w:sz w:val="20"/>
          <w:szCs w:val="20"/>
        </w:rPr>
        <w:t xml:space="preserve">„wissen-hätte-müssen“.</w:t>
      </w:r>
      <w:bookmarkStart w:id="79231775" w:name="link6"/>
      <w:bookmarkEnd w:id="79231775"/>
      <w:hyperlink w:anchor="note6" w:history="1">
        <w:r>
          <w:rPr>
            <w:rFonts w:ascii="Arial" w:hAnsi="Arial" w:eastAsia="Arial" w:cs="Arial"/>
            <w:b/>
            <w:bCs/>
            <w:color w:val="006BB6"/>
            <w:position w:val="4"/>
            <w:sz w:val="22"/>
            <w:szCs w:val="22"/>
            <w:vertAlign w:val="superscript"/>
          </w:rPr>
          <w:t xml:space="preserve">6</w:t>
        </w:r>
      </w:hyperlink>
    </w:p>
    <w:p>
      <w:pPr>
        <w:widowControl w:val="on"/>
        <w:pBdr/>
        <w:spacing w:before="140" w:after="240" w:line="288" w:lineRule="auto"/>
        <w:ind w:left="0" w:right="0"/>
        <w:jc w:val="left"/>
      </w:pPr>
      <w:r>
        <w:rPr>
          <w:rFonts w:ascii="Arial" w:hAnsi="Arial" w:eastAsia="Arial" w:cs="Arial"/>
          <w:color w:val="000000"/>
          <w:sz w:val="20"/>
          <w:szCs w:val="20"/>
        </w:rPr>
        <w:t xml:space="preserve">Daran vermag auch der von der Bf aufgeworfene Umstand, dass die
Verkäufer die Angaben aufgrund der langjährigen Geschäftsbeziehung
„einfach geglaubt“ (und nicht überprüft) hätten, nichts zu ändern:
Entsprechen die Angaben in fast allen Fällen den Tatsachen, ist es
nicht unplausibel darauf zu vertrauen, dass die gemachten Angaben
bei identer Geschäftsabwicklung tatsächlich in allen Fällen (also
auch in den hier strittigen Fällen) den Tatsachen </w:t>
      </w:r>
      <w:r>
        <w:rPr>
          <w:rFonts w:ascii="Arial" w:hAnsi="Arial" w:eastAsia="Arial" w:cs="Arial"/>
          <w:color w:val="000000"/>
          <w:sz w:val="20"/>
          <w:szCs w:val="20"/>
        </w:rPr>
        <w:t xml:space="preserve">entsprechen.</w:t>
      </w:r>
      <w:bookmarkStart w:id="38015446" w:name="link7"/>
      <w:bookmarkEnd w:id="38015446"/>
      <w:hyperlink w:anchor="note7" w:history="1">
        <w:r>
          <w:rPr>
            <w:rFonts w:ascii="Arial" w:hAnsi="Arial" w:eastAsia="Arial" w:cs="Arial"/>
            <w:b/>
            <w:bCs/>
            <w:color w:val="006BB6"/>
            <w:position w:val="4"/>
            <w:sz w:val="22"/>
            <w:szCs w:val="22"/>
            <w:vertAlign w:val="superscript"/>
          </w:rPr>
          <w:t xml:space="preserve">7</w:t>
        </w:r>
      </w:hyperlink>
    </w:p>
    <w:p>
      <w:pPr>
        <w:widowControl w:val="on"/>
        <w:pBdr/>
        <w:spacing w:before="0" w:after="105" w:line="288" w:lineRule="auto"/>
        <w:ind w:left="0" w:right="0"/>
        <w:jc w:val="left"/>
      </w:pPr>
      <w:r>
        <w:rPr>
          <w:rFonts w:ascii="Arial" w:hAnsi="Arial" w:eastAsia="Arial" w:cs="Arial"/>
          <w:b/>
          <w:bCs/>
          <w:color w:val="277DB9"/>
          <w:sz w:val="25"/>
          <w:szCs w:val="25"/>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Die von der Finanzverwaltung verlangten
Beförderungsnachweise/Verbringenserklärungen sowie
Identitätsnachweise wurden seitens der Beschwerdeführerin
aufgezeichnet. Es liegt aber gerade bei den Verbringenserklärungen
sowie Frachtpapieren in der Natur der Sache, dass diese oftmals im
Freien ohne entsprechende Schreibunterlage unterfertigt werden,
sodass ein Abweichen von Unterschriften auf Frachtpapieren und
Identitätsnachweisen möglich </w:t>
      </w:r>
      <w:r>
        <w:rPr>
          <w:rFonts w:ascii="Arial" w:hAnsi="Arial" w:eastAsia="Arial" w:cs="Arial"/>
          <w:color w:val="277DB9"/>
          <w:sz w:val="20"/>
          <w:szCs w:val="20"/>
        </w:rPr>
        <w:t xml:space="preserve">ist.</w:t>
      </w:r>
      <w:bookmarkStart w:id="41105456" w:name="link8"/>
      <w:bookmarkEnd w:id="41105456"/>
      <w:hyperlink w:anchor="note8" w:history="1">
        <w:r>
          <w:rPr>
            <w:rFonts w:ascii="Arial" w:hAnsi="Arial" w:eastAsia="Arial" w:cs="Arial"/>
            <w:b/>
            <w:bCs/>
            <w:color w:val="006BB6"/>
            <w:position w:val="4"/>
            <w:sz w:val="22"/>
            <w:szCs w:val="22"/>
            <w:vertAlign w:val="superscript"/>
          </w:rPr>
          <w:t xml:space="preserve">8</w:t>
        </w:r>
      </w:hyperlink>
    </w:p>
    <w:p>
      <w:pPr>
        <w:widowControl w:val="on"/>
        <w:pBdr/>
        <w:spacing w:before="0" w:after="105" w:line="288" w:lineRule="auto"/>
        <w:ind w:left="0" w:right="0"/>
        <w:jc w:val="left"/>
      </w:pPr>
      <w:r>
        <w:rPr>
          <w:rFonts w:ascii="Arial" w:hAnsi="Arial" w:eastAsia="Arial" w:cs="Arial"/>
          <w:b/>
          <w:bCs/>
          <w:color w:val="277DB9"/>
          <w:sz w:val="25"/>
          <w:szCs w:val="25"/>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Eine Versagung des Vertrauensschutzes schon wegen Nichterfüllung
der in Art 7 Abs 4 letzter Satz UStG normierten
besonderen Verpflichtung, die Identität des Abholenden
festzuhalten, kommt nicht in Betracht, wenn die Erfüllung dieser
Verpflichtung zur Durchsetzung des Abgabenanspruches gegen die
Abnehmerin nichts beitragen </w:t>
      </w:r>
      <w:r>
        <w:rPr>
          <w:rFonts w:ascii="Arial" w:hAnsi="Arial" w:eastAsia="Arial" w:cs="Arial"/>
          <w:color w:val="277DB9"/>
          <w:sz w:val="20"/>
          <w:szCs w:val="20"/>
        </w:rPr>
        <w:t xml:space="preserve">konnte.</w:t>
      </w:r>
      <w:bookmarkStart w:id="69141253" w:name="link9"/>
      <w:bookmarkEnd w:id="69141253"/>
      <w:hyperlink w:anchor="note9" w:history="1">
        <w:r>
          <w:rPr>
            <w:rFonts w:ascii="Arial" w:hAnsi="Arial" w:eastAsia="Arial" w:cs="Arial"/>
            <w:b/>
            <w:bCs/>
            <w:color w:val="006BB6"/>
            <w:position w:val="4"/>
            <w:sz w:val="22"/>
            <w:szCs w:val="22"/>
            <w:vertAlign w:val="superscript"/>
          </w:rPr>
          <w:t xml:space="preserve">9</w:t>
        </w:r>
      </w:hyperlink>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0726677" w:name="note1"/>
            <w:bookmarkEnd w:id="10726677"/>
            <w:bookmarkStart w:id="2187903849134" w:name="note1"/>
            <w:r>
              <w:rPr>
                <w:rFonts w:ascii="Arial" w:hAnsi="Arial" w:eastAsia="Arial" w:cs="Arial"/>
                <w:b/>
                <w:bCs/>
                <w:color w:val="000000"/>
                <w:position w:val="0"/>
                <w:sz w:val="20"/>
                <w:szCs w:val="20"/>
              </w:rPr>
              <w:t xml:space="preserve">[1]</w:t>
            </w:r>
            <w:bookmarkEnd w:id="218790384913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Sollte sich der Steuerpflichtige während der Betriebsprüfung
noch nicht auf die Vertrauensschutzregel berufen haben, ist dies
spätestens im BFG-Verfahren nachzuholen. Im VwGH-Verfahren kommt
ansonsten das Neuerungsverbot zum Tragen. Die Vertrauensschutzregel
soll nicht auf Fälle des ig Verbringens anwendbar sein sowie für
indirekt vertretende Spediteure, die eine EUSt-Befreiung aufgrund
einer der sich der Einfuhr anschließenden ig Lieferung geltend
gemacht haben (zB VwGH 25.4.2017, 2016/16/0059 sowie VwGH
21.11.2017, 2017/16/0037).</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7586225" w:name="note2"/>
            <w:bookmarkEnd w:id="77586225"/>
            <w:bookmarkStart w:id="5860608236155" w:name="note2"/>
            <w:r>
              <w:rPr>
                <w:rFonts w:ascii="Arial" w:hAnsi="Arial" w:eastAsia="Arial" w:cs="Arial"/>
                <w:b/>
                <w:bCs/>
                <w:color w:val="000000"/>
                <w:position w:val="0"/>
                <w:sz w:val="20"/>
                <w:szCs w:val="20"/>
              </w:rPr>
              <w:t xml:space="preserve">[2]</w:t>
            </w:r>
            <w:bookmarkEnd w:id="586060823615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Oft wird der Vertrauensschutz von der Finanzverwaltung mit dem
Hinweis abgelehnt, dass die UID-Nummer zum Zeitpunkt der Lieferung
nicht gültig war.</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5279378" w:name="note3"/>
            <w:bookmarkEnd w:id="85279378"/>
            <w:bookmarkStart w:id="2847815802727" w:name="note3"/>
            <w:r>
              <w:rPr>
                <w:rFonts w:ascii="Arial" w:hAnsi="Arial" w:eastAsia="Arial" w:cs="Arial"/>
                <w:b/>
                <w:bCs/>
                <w:color w:val="000000"/>
                <w:position w:val="0"/>
                <w:sz w:val="20"/>
                <w:szCs w:val="20"/>
              </w:rPr>
              <w:t xml:space="preserve">[3]</w:t>
            </w:r>
            <w:bookmarkEnd w:id="284781580272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Sofern Abnehmer überhaupt nicht existiert. Das Vertrauen auf
alternative behördlich ausgestellte Dokumente muss explizit in der
Beschwerde angeführt werden. Neben Firmenbuchauszügen kann dies
auch eine EORI-Nummer oder eine gültige Verbrauchsteuernummer
sein.</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2809054" w:name="note4"/>
            <w:bookmarkEnd w:id="82809054"/>
            <w:bookmarkStart w:id="625478445866" w:name="note4"/>
            <w:r>
              <w:rPr>
                <w:rFonts w:ascii="Arial" w:hAnsi="Arial" w:eastAsia="Arial" w:cs="Arial"/>
                <w:b/>
                <w:bCs/>
                <w:color w:val="000000"/>
                <w:position w:val="0"/>
                <w:sz w:val="20"/>
                <w:szCs w:val="20"/>
              </w:rPr>
              <w:t xml:space="preserve">[4]</w:t>
            </w:r>
            <w:bookmarkEnd w:id="62547844586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Verdachtsmomente können sein: unüblicher Preis oder unübliche
Menge; Geschäftsanbahnung erfolgt durch Dritten, der zugleich
Lieferant ist; Abweichen auf Lieferort lt Lieferschein und
Transportpapieren (in eventu auch Zollanmeldung bei sich Einfuhr
anschließender ig Lieferung); fehlender Außenauftritt des Kunden
mangels Telefonnummer, Website, E-Mail-Adresse, Barzahlung;
Geschäftsanschrift passt nicht zur Tätigkeit (zB
Industrieunternehmen in Altstadt, BFG 08.11.2016,
RV/2101017/2015).</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4377251" w:name="note5"/>
            <w:bookmarkEnd w:id="74377251"/>
            <w:bookmarkStart w:id="2808750367606" w:name="note5"/>
            <w:r>
              <w:rPr>
                <w:rFonts w:ascii="Arial" w:hAnsi="Arial" w:eastAsia="Arial" w:cs="Arial"/>
                <w:b/>
                <w:bCs/>
                <w:color w:val="000000"/>
                <w:position w:val="0"/>
                <w:sz w:val="20"/>
                <w:szCs w:val="20"/>
              </w:rPr>
              <w:t xml:space="preserve">[5]</w:t>
            </w:r>
            <w:bookmarkEnd w:id="280875036760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Vorsicht ist bei Bezahlung an Konten in Steuerparadiesen gegeben
oder nicht auf den Namen des Kunden lautenden Konten gegeben. Bei
IBAN-Überweisungen muss aber der Name des Konteninhabers nicht
vorliegen.</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2478157" w:name="note6"/>
            <w:bookmarkEnd w:id="22478157"/>
            <w:bookmarkStart w:id="9375449014337" w:name="note6"/>
            <w:r>
              <w:rPr>
                <w:rFonts w:ascii="Arial" w:hAnsi="Arial" w:eastAsia="Arial" w:cs="Arial"/>
                <w:b/>
                <w:bCs/>
                <w:color w:val="000000"/>
                <w:position w:val="0"/>
                <w:sz w:val="20"/>
                <w:szCs w:val="20"/>
              </w:rPr>
              <w:t xml:space="preserve">[6]</w:t>
            </w:r>
            <w:bookmarkEnd w:id="937544901433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b/>
                <w:bCs/>
                <w:color w:val="277DB9"/>
                <w:position w:val="0"/>
                <w:sz w:val="25"/>
                <w:szCs w:val="25"/>
              </w:rPr>
              <w:t xml:space="preserve">Achtung:</w:t>
            </w:r>
          </w:p>
          <w:p>
            <w:pPr>
              <w:widowControl w:val="on"/>
              <w:pBdr/>
              <w:spacing w:before="0" w:after="0" w:line="288" w:lineRule="auto"/>
              <w:ind w:left="0" w:right="0"/>
              <w:jc w:val="left"/>
              <w:textAlignment w:val="top"/>
            </w:pPr>
            <w:r>
              <w:rPr>
                <w:rFonts w:ascii="Arial" w:hAnsi="Arial" w:eastAsia="Arial" w:cs="Arial"/>
                <w:color w:val="277DB9"/>
                <w:position w:val="0"/>
                <w:sz w:val="20"/>
                <w:szCs w:val="20"/>
              </w:rPr>
              <w:t xml:space="preserve">Bei „Wissen-hätte-Müssen“ sind die Voraussetzungen für den
Vertrauensschutz gem Art 7 Abs 4 UStG nicht mehr
gegeben.</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1726152" w:name="note7"/>
            <w:bookmarkEnd w:id="61726152"/>
            <w:bookmarkStart w:id="6150806026010" w:name="note7"/>
            <w:r>
              <w:rPr>
                <w:rFonts w:ascii="Arial" w:hAnsi="Arial" w:eastAsia="Arial" w:cs="Arial"/>
                <w:b/>
                <w:bCs/>
                <w:color w:val="000000"/>
                <w:position w:val="0"/>
                <w:sz w:val="20"/>
                <w:szCs w:val="20"/>
              </w:rPr>
              <w:t xml:space="preserve">[7]</w:t>
            </w:r>
            <w:bookmarkEnd w:id="6150806026010"/>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Vgl BFG 08.11.2017, RV/2100523/2017.</w:t>
            </w:r>
          </w:p>
          <w:p>
            <w:pPr>
              <w:widowControl w:val="on"/>
              <w:pBdr/>
              <w:spacing w:before="0" w:after="0" w:line="288" w:lineRule="auto"/>
              <w:ind w:left="0" w:right="0"/>
              <w:jc w:val="left"/>
              <w:textAlignment w:val="top"/>
            </w:pPr>
            <w:hyperlink w:anchor="link7"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5801236" w:name="note8"/>
            <w:bookmarkEnd w:id="45801236"/>
            <w:bookmarkStart w:id="3599435241483" w:name="note8"/>
            <w:r>
              <w:rPr>
                <w:rFonts w:ascii="Arial" w:hAnsi="Arial" w:eastAsia="Arial" w:cs="Arial"/>
                <w:b/>
                <w:bCs/>
                <w:color w:val="000000"/>
                <w:position w:val="0"/>
                <w:sz w:val="20"/>
                <w:szCs w:val="20"/>
              </w:rPr>
              <w:t xml:space="preserve">[8]</w:t>
            </w:r>
            <w:bookmarkEnd w:id="359943524148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In diesem Zusammenhang werde auf die Judikatur verwiesen, wonach
der Unternehmer dann nicht mit der Sorgfalt eines ordentlichen
Kaufmannes handle, wenn er in Abholfällen die Identität des
Abholenden nicht festhalte. Er genieße daher keinen
Vertrauensschutz iSd Art 7 Abs 4 UStG 1994 (vgl UFSW
15.3.2013, RV/0284-W/08, RV/0284-W/08-RS2). Eine Versagung des
Vertrauensschutzes schon wegen Nichterfüllung der in Art 7
Abs 4 letzter Satz UStG normierten besonderen Verpflichtung,
die Identität des Abholenden festzuhalten, kommt nicht in Betracht,
wenn die Erfüllung dieser Verpflichtung zur Durchsetzung des
Abgabenanspruches gegen den Abnehmer nichts beitragen konnte (BFG
01.08.2016, RV/7102303/2016).</w:t>
            </w:r>
          </w:p>
          <w:p>
            <w:pPr>
              <w:widowControl w:val="on"/>
              <w:pBdr/>
              <w:spacing w:before="0" w:after="0" w:line="288" w:lineRule="auto"/>
              <w:ind w:left="0" w:right="0"/>
              <w:jc w:val="left"/>
              <w:textAlignment w:val="top"/>
            </w:pPr>
            <w:hyperlink w:anchor="link8"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7219049" w:name="note9"/>
            <w:bookmarkEnd w:id="87219049"/>
            <w:bookmarkStart w:id="6186644625104" w:name="note9"/>
            <w:r>
              <w:rPr>
                <w:rFonts w:ascii="Arial" w:hAnsi="Arial" w:eastAsia="Arial" w:cs="Arial"/>
                <w:b/>
                <w:bCs/>
                <w:color w:val="000000"/>
                <w:position w:val="0"/>
                <w:sz w:val="20"/>
                <w:szCs w:val="20"/>
              </w:rPr>
              <w:t xml:space="preserve">[9]</w:t>
            </w:r>
            <w:bookmarkEnd w:id="618664462510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BFG 1.8.2016, RV/7102303/2016-RS1 sowie VwGH 27.4.2016,
2013/13/0051.</w:t>
            </w:r>
          </w:p>
          <w:p>
            <w:pPr>
              <w:widowControl w:val="on"/>
              <w:pBdr/>
              <w:spacing w:before="0" w:after="0" w:line="288" w:lineRule="auto"/>
              <w:ind w:left="0" w:right="0"/>
              <w:jc w:val="left"/>
              <w:textAlignment w:val="top"/>
            </w:pPr>
            <w:hyperlink w:anchor="link9"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086620">
    <w:multiLevelType w:val="hybridMultilevel"/>
    <w:lvl w:ilvl="0" w:tplc="51787629">
      <w:start w:val="1"/>
      <w:numFmt w:val="decimal"/>
      <w:lvlText w:val="%1."/>
      <w:lvlJc w:val="left"/>
      <w:pPr>
        <w:ind w:left="720" w:hanging="360"/>
      </w:pPr>
    </w:lvl>
    <w:lvl w:ilvl="1" w:tplc="51787629" w:tentative="1">
      <w:start w:val="1"/>
      <w:numFmt w:val="lowerLetter"/>
      <w:lvlText w:val="%2."/>
      <w:lvlJc w:val="left"/>
      <w:pPr>
        <w:ind w:left="1440" w:hanging="360"/>
      </w:pPr>
    </w:lvl>
    <w:lvl w:ilvl="2" w:tplc="51787629" w:tentative="1">
      <w:start w:val="1"/>
      <w:numFmt w:val="lowerRoman"/>
      <w:lvlText w:val="%3."/>
      <w:lvlJc w:val="right"/>
      <w:pPr>
        <w:ind w:left="2160" w:hanging="180"/>
      </w:pPr>
    </w:lvl>
    <w:lvl w:ilvl="3" w:tplc="51787629" w:tentative="1">
      <w:start w:val="1"/>
      <w:numFmt w:val="decimal"/>
      <w:lvlText w:val="%4."/>
      <w:lvlJc w:val="left"/>
      <w:pPr>
        <w:ind w:left="2880" w:hanging="360"/>
      </w:pPr>
    </w:lvl>
    <w:lvl w:ilvl="4" w:tplc="51787629" w:tentative="1">
      <w:start w:val="1"/>
      <w:numFmt w:val="lowerLetter"/>
      <w:lvlText w:val="%5."/>
      <w:lvlJc w:val="left"/>
      <w:pPr>
        <w:ind w:left="3600" w:hanging="360"/>
      </w:pPr>
    </w:lvl>
    <w:lvl w:ilvl="5" w:tplc="51787629" w:tentative="1">
      <w:start w:val="1"/>
      <w:numFmt w:val="lowerRoman"/>
      <w:lvlText w:val="%6."/>
      <w:lvlJc w:val="right"/>
      <w:pPr>
        <w:ind w:left="4320" w:hanging="180"/>
      </w:pPr>
    </w:lvl>
    <w:lvl w:ilvl="6" w:tplc="51787629" w:tentative="1">
      <w:start w:val="1"/>
      <w:numFmt w:val="decimal"/>
      <w:lvlText w:val="%7."/>
      <w:lvlJc w:val="left"/>
      <w:pPr>
        <w:ind w:left="5040" w:hanging="360"/>
      </w:pPr>
    </w:lvl>
    <w:lvl w:ilvl="7" w:tplc="51787629" w:tentative="1">
      <w:start w:val="1"/>
      <w:numFmt w:val="lowerLetter"/>
      <w:lvlText w:val="%8."/>
      <w:lvlJc w:val="left"/>
      <w:pPr>
        <w:ind w:left="5760" w:hanging="360"/>
      </w:pPr>
    </w:lvl>
    <w:lvl w:ilvl="8" w:tplc="51787629" w:tentative="1">
      <w:start w:val="1"/>
      <w:numFmt w:val="lowerRoman"/>
      <w:lvlText w:val="%9."/>
      <w:lvlJc w:val="right"/>
      <w:pPr>
        <w:ind w:left="6480" w:hanging="180"/>
      </w:pPr>
    </w:lvl>
  </w:abstractNum>
  <w:abstractNum w:abstractNumId="81086619">
    <w:multiLevelType w:val="hybridMultilevel"/>
    <w:lvl w:ilvl="0" w:tplc="720097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086619">
    <w:abstractNumId w:val="81086619"/>
  </w:num>
  <w:num w:numId="81086620">
    <w:abstractNumId w:val="810866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256764242" Type="http://schemas.openxmlformats.org/officeDocument/2006/relationships/numbering" Target="numbering.xml"/><Relationship Id="rId95505773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