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8451357" w:name="document"/>
    <w:bookmarkEnd w:id="28451357"/>
    <w:p/>
    <w:p>
      <w:pPr>
        <w:widowControl w:val="on"/>
        <w:pBdr/>
        <w:spacing w:before="0" w:after="280" w:line="240" w:lineRule="auto"/>
        <w:ind w:left="0" w:right="0"/>
        <w:jc w:val="left"/>
      </w:pPr>
      <w:r>
        <w:rPr>
          <w:rFonts w:ascii="Arial" w:hAnsi="Arial" w:eastAsia="Arial" w:cs="Arial"/>
          <w:color w:val="363A40"/>
          <w:sz w:val="24"/>
          <w:szCs w:val="24"/>
        </w:rPr>
        <w:t xml:space="preserve">Dokument-ID: 823225 | Andreas Wostri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Revisionsbeantwortung bei einer ordentlichen Revision</w:t>
      </w:r>
    </w:p>
    <w:p>
      <w:pPr>
        <w:widowControl w:val="on"/>
        <w:pBdr/>
        <w:spacing w:before="140" w:after="240" w:line="288" w:lineRule="auto"/>
        <w:ind w:left="0" w:right="0"/>
        <w:jc w:val="left"/>
      </w:pPr>
      <w:r>
        <w:rPr>
          <w:rFonts w:ascii="Arial" w:hAnsi="Arial" w:eastAsia="Arial" w:cs="Arial"/>
          <w:color w:val="000000"/>
          <w:sz w:val="20"/>
          <w:szCs w:val="20"/>
        </w:rPr>
        <w:t xml:space="preserve">… </w:t>
      </w:r>
      <w:r>
        <w:rPr>
          <w:rFonts w:ascii="Arial" w:hAnsi="Arial" w:eastAsia="Arial" w:cs="Arial"/>
          <w:color w:val="000000"/>
          <w:sz w:val="20"/>
          <w:szCs w:val="20"/>
        </w:rPr>
        <w:t xml:space="preserve">[Briefkopf]</w:t>
      </w:r>
      <w:bookmarkStart w:id="68618002" w:name="link1"/>
      <w:bookmarkEnd w:id="68618002"/>
      <w:hyperlink w:anchor="note1" w:history="1">
        <w:r>
          <w:rPr>
            <w:rFonts w:ascii="Arial" w:hAnsi="Arial" w:eastAsia="Arial" w:cs="Arial"/>
            <w:b/>
            <w:bCs/>
            <w:color w:val="006BB6"/>
            <w:position w:val="4"/>
            <w:sz w:val="22"/>
            <w:szCs w:val="22"/>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An das</w:t>
      </w:r>
      <w:r>
        <w:rPr>
          <w:rFonts w:ascii="Arial" w:hAnsi="Arial" w:eastAsia="Arial" w:cs="Arial"/>
          <w:color w:val="000000"/>
          <w:sz w:val="20"/>
          <w:szCs w:val="20"/>
        </w:rPr>
        <w:br/>
        <w:t xml:space="preserve">… [Verwaltungsgericht, </w:t>
      </w:r>
      <w:r>
        <w:rPr>
          <w:rFonts w:ascii="Arial" w:hAnsi="Arial" w:eastAsia="Arial" w:cs="Arial"/>
          <w:color w:val="000000"/>
          <w:sz w:val="20"/>
          <w:szCs w:val="20"/>
        </w:rPr>
        <w:t xml:space="preserve">Adresse]</w:t>
      </w:r>
      <w:bookmarkStart w:id="90166013" w:name="link2"/>
      <w:bookmarkEnd w:id="90166013"/>
      <w:hyperlink w:anchor="note2" w:history="1">
        <w:r>
          <w:rPr>
            <w:rFonts w:ascii="Arial" w:hAnsi="Arial" w:eastAsia="Arial" w:cs="Arial"/>
            <w:b/>
            <w:bCs/>
            <w:color w:val="006BB6"/>
            <w:position w:val="4"/>
            <w:sz w:val="22"/>
            <w:szCs w:val="22"/>
            <w:vertAlign w:val="superscript"/>
          </w:rPr>
          <w:t xml:space="preserve">2</w:t>
        </w:r>
      </w:hyperlink>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Revisionswerber: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[Name,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Belangte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[Belangte Behörde,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Mitbeteiligte Partei(en):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[Mitbeteiligte Partei, 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Revision gegen das Erkenntnis (Beschluss) des
Verwaltungsgerichtes … vom … [Datum], Zl … [Geschäftszahl]</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Revisionsbeantwortung</w:t>
      </w:r>
    </w:p>
    <w:p>
      <w:pPr>
        <w:widowControl w:val="on"/>
        <w:pBdr/>
        <w:spacing w:before="140" w:after="240" w:line="288" w:lineRule="auto"/>
        <w:ind w:left="0" w:right="0"/>
        <w:jc w:val="right"/>
      </w:pPr>
      <w:r>
        <w:rPr>
          <w:rFonts w:ascii="Arial" w:hAnsi="Arial" w:eastAsia="Arial" w:cs="Arial"/>
          <w:color w:val="000000"/>
          <w:sz w:val="20"/>
          <w:szCs w:val="20"/>
        </w:rPr>
        <w:t xml:space="preserve">x-fach</w:t>
      </w:r>
      <w:bookmarkStart w:id="38441678" w:name="link3"/>
      <w:bookmarkEnd w:id="38441678"/>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br/>
        <w:t xml:space="preserve">Beilagen</w:t>
      </w:r>
    </w:p>
    <w:p>
      <w:pPr>
        <w:pageBreakBefore w:val="on"/>
      </w:pPr>
      <w:r/>
    </w:p>
    <w:p>
      <w:pPr>
        <w:widowControl w:val="on"/>
        <w:pBdr/>
        <w:spacing w:before="140" w:after="240" w:line="288" w:lineRule="auto"/>
        <w:ind w:left="0" w:right="0"/>
        <w:jc w:val="left"/>
      </w:pPr>
      <w:r>
        <w:rPr>
          <w:rFonts w:ascii="Arial" w:hAnsi="Arial" w:eastAsia="Arial" w:cs="Arial"/>
          <w:color w:val="000000"/>
          <w:sz w:val="20"/>
          <w:szCs w:val="20"/>
        </w:rPr>
        <w:t xml:space="preserve"> </w:t>
      </w:r>
    </w:p>
    <w:p>
      <w:pPr>
        <w:widowControl w:val="on"/>
        <w:pBdr/>
        <w:spacing w:before="140" w:after="240" w:line="288" w:lineRule="auto"/>
        <w:ind w:left="0" w:right="0"/>
        <w:jc w:val="left"/>
      </w:pPr>
      <w:r>
        <w:rPr>
          <w:rFonts w:ascii="Arial" w:hAnsi="Arial" w:eastAsia="Arial" w:cs="Arial"/>
          <w:color w:val="000000"/>
          <w:sz w:val="20"/>
          <w:szCs w:val="20"/>
        </w:rPr>
        <w:t xml:space="preserve">Aufgrund der Aufforderung des Verwaltungsgerichtes … [Nennung
des VwG] vom … [Datum], Zl … [Zahl], erstattet … [Partei,
welche die Revisionsbeantwortung </w:t>
      </w:r>
      <w:r>
        <w:rPr>
          <w:rFonts w:ascii="Arial" w:hAnsi="Arial" w:eastAsia="Arial" w:cs="Arial"/>
          <w:color w:val="000000"/>
          <w:sz w:val="20"/>
          <w:szCs w:val="20"/>
        </w:rPr>
        <w:t xml:space="preserve">erstattet]</w:t>
      </w:r>
      <w:bookmarkStart w:id="89730111" w:name="link1"/>
      <w:bookmarkEnd w:id="89730111"/>
      <w:hyperlink w:anchor="note1" w:history="1">
        <w:r>
          <w:rPr>
            <w:rFonts w:ascii="Arial" w:hAnsi="Arial" w:eastAsia="Arial" w:cs="Arial"/>
            <w:b/>
            <w:bCs/>
            <w:color w:val="006BB6"/>
            <w:position w:val="4"/>
            <w:sz w:val="22"/>
            <w:szCs w:val="22"/>
            <w:vertAlign w:val="superscript"/>
          </w:rPr>
          <w:t xml:space="preserve">1</w:t>
        </w:r>
      </w:hyperlink>
    </w:p>
    <w:p>
      <w:pPr>
        <w:widowControl w:val="on"/>
        <w:pBdr/>
        <w:spacing w:before="140" w:after="240" w:line="288" w:lineRule="auto"/>
        <w:ind w:left="0" w:right="0"/>
        <w:jc w:val="left"/>
      </w:pPr>
      <w:r>
        <w:rPr>
          <w:rFonts w:ascii="Arial" w:hAnsi="Arial" w:eastAsia="Arial" w:cs="Arial"/>
          <w:color w:val="000000"/>
          <w:sz w:val="20"/>
          <w:szCs w:val="20"/>
        </w:rPr>
        <w:t xml:space="preserve">binnen offener Frist die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Revisionsbeantwortung:</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left"/>
      </w:pPr>
      <w:r>
        <w:rPr>
          <w:rFonts w:ascii="Arial" w:hAnsi="Arial" w:eastAsia="Arial" w:cs="Arial"/>
          <w:color w:val="000000"/>
          <w:sz w:val="20"/>
          <w:szCs w:val="20"/>
        </w:rPr>
        <w:t xml:space="preserve">… [Stellungnahme zur Revision; ggf Ausführungen zur Zulässigkeit
der Revision; Auseinandersetzung mit dem Vorbringen des
Revisionswerbers zur Rechtswidrigkeit des Erkenntnisses
(Beschlusses) des Verwaltungsgerichts]</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Es wird daher der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Antrag</w:t>
      </w:r>
    </w:p>
    <w:p>
      <w:pPr>
        <w:widowControl w:val="on"/>
        <w:pBdr/>
        <w:spacing w:before="140" w:after="240" w:line="288" w:lineRule="auto"/>
        <w:ind w:left="0" w:right="0"/>
        <w:jc w:val="left"/>
      </w:pPr>
      <w:r>
        <w:rPr>
          <w:rFonts w:ascii="Arial" w:hAnsi="Arial" w:eastAsia="Arial" w:cs="Arial"/>
          <w:color w:val="000000"/>
          <w:sz w:val="20"/>
          <w:szCs w:val="20"/>
        </w:rPr>
        <w:t xml:space="preserve">gestellt, der Verwaltungsgerichtshof möge</w:t>
      </w:r>
    </w:p>
    <w:p>
      <w:pPr>
        <w:numPr>
          <w:ilvl w:val="0"/>
          <w:numId w:val="7023842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Revision als unzulässig zurückweisen bzw als unbegründet
abweisen.</w:t>
      </w:r>
    </w:p>
    <w:p>
      <w:pPr>
        <w:numPr>
          <w:ilvl w:val="0"/>
          <w:numId w:val="7023842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 [Partei, welche die Revisionsbeantwortung erstattet]
gem § 59 iVm § 48 Abs 2 Z 1 (bzw § 48
Abs 3 Z 2) VwGG und der VwGH-Aufwandersatzverordnung 2014
den Schriftsatzaufwand </w:t>
      </w:r>
      <w:r>
        <w:rPr>
          <w:rFonts w:ascii="Arial" w:hAnsi="Arial" w:eastAsia="Arial" w:cs="Arial"/>
          <w:color w:val="000000"/>
          <w:sz w:val="20"/>
          <w:szCs w:val="20"/>
        </w:rPr>
        <w:t xml:space="preserve">zuerkennen.</w:t>
      </w:r>
      <w:bookmarkStart w:id="39403689" w:name="link4"/>
      <w:bookmarkEnd w:id="39403689"/>
      <w:hyperlink w:anchor="note4" w:history="1">
        <w:r>
          <w:rPr>
            <w:rFonts w:ascii="Arial" w:hAnsi="Arial" w:eastAsia="Arial" w:cs="Arial"/>
            <w:b/>
            <w:bCs/>
            <w:color w:val="006BB6"/>
            <w:position w:val="4"/>
            <w:sz w:val="22"/>
            <w:szCs w:val="22"/>
            <w:vertAlign w:val="superscript"/>
          </w:rPr>
          <w:t xml:space="preserve">4</w:t>
        </w:r>
      </w:hyperlink>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der Partei] </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90739" w:name="note1"/>
            <w:bookmarkEnd w:id="7790739"/>
            <w:bookmarkStart w:id="6569402620675" w:name="note1"/>
            <w:r>
              <w:rPr>
                <w:rFonts w:ascii="Arial" w:hAnsi="Arial" w:eastAsia="Arial" w:cs="Arial"/>
                <w:b/>
                <w:bCs/>
                <w:color w:val="000000"/>
                <w:position w:val="0"/>
                <w:sz w:val="20"/>
                <w:szCs w:val="20"/>
              </w:rPr>
              <w:t xml:space="preserve">[1]</w:t>
            </w:r>
            <w:bookmarkEnd w:id="656940262067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Verwaltungsgericht hat im Falle einer ordentlichen Revision
den – neben dem Revisionswerber – weiteren Parteien eine
Ausfertigung der Revision mit der Aufforderung eine
Revisionsbeantwortung einzubringen, zuzustellen (§ 30a
Abs 4 VwGG, vgl auch § 30a Abs 5 VwGG).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Partei sind gem § 21 Abs 1 VwGG – neben dem
Revisionswerber – insbesondere die belangte Behörde und allfällige
Mitbeteiligte (ggf auch der Bundesminister bzw die Landesregierung;
vgl § 21 Abs 1 Z 3 und § 22 VwGG).</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295420" w:name="note2"/>
            <w:bookmarkEnd w:id="61295420"/>
            <w:bookmarkStart w:id="9601926445452" w:name="note2"/>
            <w:r>
              <w:rPr>
                <w:rFonts w:ascii="Arial" w:hAnsi="Arial" w:eastAsia="Arial" w:cs="Arial"/>
                <w:b/>
                <w:bCs/>
                <w:color w:val="000000"/>
                <w:position w:val="0"/>
                <w:sz w:val="20"/>
                <w:szCs w:val="20"/>
              </w:rPr>
              <w:t xml:space="preserve">[2]</w:t>
            </w:r>
            <w:bookmarkEnd w:id="960192644545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Revision ist beim Verwaltungsgericht einzubringen. Sofern
die Revision nicht zurückzuweisen ist, hat das Verwaltungsgericht –
nach allfälliger Durchführung eines Mängelbehebungsverfahrens – den
anderen Parteien Ausfertigungen der Revision samt Beilagen mit der
Aufforderung zuzustellen, binnen einer mit höchstens acht Wochen
festzusetzenden Frist eine Revisionsbeantwortung einzubringen
(§ 30a Abs 4 VwGG).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Revisionsbeantwortung ist beim Verwaltungsgericht
einzubringen (§ 24 Abs 1 VwGG).</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6223569" w:name="note3"/>
            <w:bookmarkEnd w:id="26223569"/>
            <w:bookmarkStart w:id="1093231621004" w:name="note3"/>
            <w:r>
              <w:rPr>
                <w:rFonts w:ascii="Arial" w:hAnsi="Arial" w:eastAsia="Arial" w:cs="Arial"/>
                <w:b/>
                <w:bCs/>
                <w:color w:val="000000"/>
                <w:position w:val="0"/>
                <w:sz w:val="20"/>
                <w:szCs w:val="20"/>
              </w:rPr>
              <w:t xml:space="preserve">[3]</w:t>
            </w:r>
            <w:bookmarkEnd w:id="109323162100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Revisionsbeantwortung samt Beilagen ist in so vielen
gleichlautenden Ausfertigungen beizubringen, dass jeder zu
verständigenden Partei oder Behörde eine Ausfertigung zugestellt
und überdies eine für die Akten des Verwaltungsgerichtshofes
zurückbehalten werden kann (§ 24 Abs 3 VwGG).</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085422" w:name="note4"/>
            <w:bookmarkEnd w:id="67085422"/>
            <w:bookmarkStart w:id="471249230536" w:name="note4"/>
            <w:r>
              <w:rPr>
                <w:rFonts w:ascii="Arial" w:hAnsi="Arial" w:eastAsia="Arial" w:cs="Arial"/>
                <w:b/>
                <w:bCs/>
                <w:color w:val="000000"/>
                <w:position w:val="0"/>
                <w:sz w:val="20"/>
                <w:szCs w:val="20"/>
              </w:rPr>
              <w:t xml:space="preserve">[4]</w:t>
            </w:r>
            <w:bookmarkEnd w:id="47124923053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 47 bis 59 VwGG; VwGH-Aufwandersatzverordnung
2014.</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belangte Behörde hat Anspruch auf Ersatz des Aufwandes, der
für sie mit der Einbringung der Revisionsbeantwortung verbunden war
(Schriftsatzaufwand; § 48 Abs 2 Z 1 VwGG). Ein
Mitbeteiligter hat Anspruch auf Ersatz des Aufwandes, der für ihn
mit der Einbringung einer Revisionsbeantwortung durch einen
Rechtsanwalt (Steuerberater oder Wirtschaftsprüfer) verbunden war
(Schriftsatzaufwand; § 48 Abs 3 Z 2 VwGG).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Zuerkennung eines Aufwandersatz durch den VwGH bedarf eines
Antrages (§ 59 Abs 1). Der Antrag für den
Schriftsatzaufwand ist im Schriftsatz einzubringen (§ 59
Abs 2 Z 1 VwGG). Der Antrag kann allgemein auf
Aufwandersatz im gesetzlichen Ausmaß gerichtet sein; der gebührende
Aufwandersatz muss nicht ziffernmäßig genannt werden (§ 59
Abs 3 VwGG).</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238426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726629">
    <w:multiLevelType w:val="hybridMultilevel"/>
    <w:lvl w:ilvl="0" w:tplc="15494851">
      <w:start w:val="1"/>
      <w:numFmt w:val="decimal"/>
      <w:lvlText w:val="%1."/>
      <w:lvlJc w:val="left"/>
      <w:pPr>
        <w:ind w:left="720" w:hanging="360"/>
      </w:pPr>
    </w:lvl>
    <w:lvl w:ilvl="1" w:tplc="15494851" w:tentative="1">
      <w:start w:val="1"/>
      <w:numFmt w:val="lowerLetter"/>
      <w:lvlText w:val="%2."/>
      <w:lvlJc w:val="left"/>
      <w:pPr>
        <w:ind w:left="1440" w:hanging="360"/>
      </w:pPr>
    </w:lvl>
    <w:lvl w:ilvl="2" w:tplc="15494851" w:tentative="1">
      <w:start w:val="1"/>
      <w:numFmt w:val="lowerRoman"/>
      <w:lvlText w:val="%3."/>
      <w:lvlJc w:val="right"/>
      <w:pPr>
        <w:ind w:left="2160" w:hanging="180"/>
      </w:pPr>
    </w:lvl>
    <w:lvl w:ilvl="3" w:tplc="15494851" w:tentative="1">
      <w:start w:val="1"/>
      <w:numFmt w:val="decimal"/>
      <w:lvlText w:val="%4."/>
      <w:lvlJc w:val="left"/>
      <w:pPr>
        <w:ind w:left="2880" w:hanging="360"/>
      </w:pPr>
    </w:lvl>
    <w:lvl w:ilvl="4" w:tplc="15494851" w:tentative="1">
      <w:start w:val="1"/>
      <w:numFmt w:val="lowerLetter"/>
      <w:lvlText w:val="%5."/>
      <w:lvlJc w:val="left"/>
      <w:pPr>
        <w:ind w:left="3600" w:hanging="360"/>
      </w:pPr>
    </w:lvl>
    <w:lvl w:ilvl="5" w:tplc="15494851" w:tentative="1">
      <w:start w:val="1"/>
      <w:numFmt w:val="lowerRoman"/>
      <w:lvlText w:val="%6."/>
      <w:lvlJc w:val="right"/>
      <w:pPr>
        <w:ind w:left="4320" w:hanging="180"/>
      </w:pPr>
    </w:lvl>
    <w:lvl w:ilvl="6" w:tplc="15494851" w:tentative="1">
      <w:start w:val="1"/>
      <w:numFmt w:val="decimal"/>
      <w:lvlText w:val="%7."/>
      <w:lvlJc w:val="left"/>
      <w:pPr>
        <w:ind w:left="5040" w:hanging="360"/>
      </w:pPr>
    </w:lvl>
    <w:lvl w:ilvl="7" w:tplc="15494851" w:tentative="1">
      <w:start w:val="1"/>
      <w:numFmt w:val="lowerLetter"/>
      <w:lvlText w:val="%8."/>
      <w:lvlJc w:val="left"/>
      <w:pPr>
        <w:ind w:left="5760" w:hanging="360"/>
      </w:pPr>
    </w:lvl>
    <w:lvl w:ilvl="8" w:tplc="15494851" w:tentative="1">
      <w:start w:val="1"/>
      <w:numFmt w:val="lowerRoman"/>
      <w:lvlText w:val="%9."/>
      <w:lvlJc w:val="right"/>
      <w:pPr>
        <w:ind w:left="6480" w:hanging="180"/>
      </w:pPr>
    </w:lvl>
  </w:abstractNum>
  <w:abstractNum w:abstractNumId="574451017">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55726628">
    <w:multiLevelType w:val="hybridMultilevel"/>
    <w:lvl w:ilvl="0" w:tplc="11966008">
      <w:start w:val="1"/>
      <w:numFmt w:val="decimal"/>
      <w:lvlText w:val="%1."/>
      <w:lvlJc w:val="left"/>
      <w:pPr>
        <w:ind w:left="720" w:hanging="360"/>
      </w:pPr>
    </w:lvl>
    <w:lvl w:ilvl="1" w:tplc="11966008" w:tentative="1">
      <w:start w:val="1"/>
      <w:numFmt w:val="lowerLetter"/>
      <w:lvlText w:val="%2."/>
      <w:lvlJc w:val="left"/>
      <w:pPr>
        <w:ind w:left="1440" w:hanging="360"/>
      </w:pPr>
    </w:lvl>
    <w:lvl w:ilvl="2" w:tplc="11966008" w:tentative="1">
      <w:start w:val="1"/>
      <w:numFmt w:val="lowerRoman"/>
      <w:lvlText w:val="%3."/>
      <w:lvlJc w:val="right"/>
      <w:pPr>
        <w:ind w:left="2160" w:hanging="180"/>
      </w:pPr>
    </w:lvl>
    <w:lvl w:ilvl="3" w:tplc="11966008" w:tentative="1">
      <w:start w:val="1"/>
      <w:numFmt w:val="decimal"/>
      <w:lvlText w:val="%4."/>
      <w:lvlJc w:val="left"/>
      <w:pPr>
        <w:ind w:left="2880" w:hanging="360"/>
      </w:pPr>
    </w:lvl>
    <w:lvl w:ilvl="4" w:tplc="11966008" w:tentative="1">
      <w:start w:val="1"/>
      <w:numFmt w:val="lowerLetter"/>
      <w:lvlText w:val="%5."/>
      <w:lvlJc w:val="left"/>
      <w:pPr>
        <w:ind w:left="3600" w:hanging="360"/>
      </w:pPr>
    </w:lvl>
    <w:lvl w:ilvl="5" w:tplc="11966008" w:tentative="1">
      <w:start w:val="1"/>
      <w:numFmt w:val="lowerRoman"/>
      <w:lvlText w:val="%6."/>
      <w:lvlJc w:val="right"/>
      <w:pPr>
        <w:ind w:left="4320" w:hanging="180"/>
      </w:pPr>
    </w:lvl>
    <w:lvl w:ilvl="6" w:tplc="11966008" w:tentative="1">
      <w:start w:val="1"/>
      <w:numFmt w:val="decimal"/>
      <w:lvlText w:val="%7."/>
      <w:lvlJc w:val="left"/>
      <w:pPr>
        <w:ind w:left="5040" w:hanging="360"/>
      </w:pPr>
    </w:lvl>
    <w:lvl w:ilvl="7" w:tplc="11966008" w:tentative="1">
      <w:start w:val="1"/>
      <w:numFmt w:val="lowerLetter"/>
      <w:lvlText w:val="%8."/>
      <w:lvlJc w:val="left"/>
      <w:pPr>
        <w:ind w:left="5760" w:hanging="360"/>
      </w:pPr>
    </w:lvl>
    <w:lvl w:ilvl="8" w:tplc="11966008" w:tentative="1">
      <w:start w:val="1"/>
      <w:numFmt w:val="lowerRoman"/>
      <w:lvlText w:val="%9."/>
      <w:lvlJc w:val="right"/>
      <w:pPr>
        <w:ind w:left="6480" w:hanging="180"/>
      </w:pPr>
    </w:lvl>
  </w:abstractNum>
  <w:abstractNum w:abstractNumId="55726627">
    <w:multiLevelType w:val="hybridMultilevel"/>
    <w:lvl w:ilvl="0" w:tplc="906098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726627">
    <w:abstractNumId w:val="55726627"/>
  </w:num>
  <w:num w:numId="55726628">
    <w:abstractNumId w:val="55726628"/>
  </w:num>
  <w:num w:numId="574451017">
    <w:abstractNumId w:val="574451017"/>
  </w:num>
  <w:num w:numId="55726629">
    <w:abstractNumId w:val="55726629"/>
  </w:num>
  <w:num w:numId="702384268">
    <w:abstractNumId w:val="7023842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986998400" Type="http://schemas.openxmlformats.org/officeDocument/2006/relationships/numbering" Target="numbering.xml"/><Relationship Id="rId39189776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