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68166920" w:name="document"/>
    <w:bookmarkEnd w:id="68166920"/>
    <w:p/>
    <w:p>
      <w:pPr>
        <w:widowControl w:val="on"/>
        <w:pBdr/>
        <w:spacing w:before="0" w:after="280" w:line="240" w:lineRule="auto"/>
        <w:ind w:left="0" w:right="0"/>
        <w:jc w:val="left"/>
      </w:pPr>
      <w:r>
        <w:rPr>
          <w:rFonts w:ascii="Arial" w:hAnsi="Arial" w:eastAsia="Arial" w:cs="Arial"/>
          <w:color w:val="363A40"/>
          <w:sz w:val="24"/>
          <w:szCs w:val="24"/>
        </w:rPr>
        <w:t xml:space="preserve">Dokument-ID: 1008614 | Raphael Albert - Albert
Scherzer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Anspruchszinsen: Herabsetzung gem
§ 205 Abs 6 BAO</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Einschreiben</w:t>
      </w:r>
      <w:bookmarkStart w:id="49307657" w:name="link1"/>
      <w:bookmarkEnd w:id="49307657"/>
      <w:hyperlink w:anchor="note1" w:history="1">
        <w:r>
          <w:rPr>
            <w:rFonts w:ascii="Arial" w:hAnsi="Arial" w:eastAsia="Arial" w:cs="Arial"/>
            <w:b/>
            <w:bCs/>
            <w:color w:val="006BB6"/>
            <w:position w:val="6"/>
            <w:sz w:val="31"/>
            <w:szCs w:val="31"/>
            <w:vertAlign w:val="superscript"/>
          </w:rPr>
          <w:t xml:space="preserve">1</w:t>
        </w:r>
      </w:hyperlink>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Finanzamt </w:t>
      </w:r>
      <w:r>
        <w:rPr>
          <w:rFonts w:ascii="Arial" w:hAnsi="Arial" w:eastAsia="Arial" w:cs="Arial"/>
          <w:color w:val="000000"/>
          <w:sz w:val="20"/>
          <w:szCs w:val="20"/>
        </w:rPr>
        <w:t xml:space="preserve">Österreich</w:t>
      </w:r>
      <w:bookmarkStart w:id="55842452" w:name="link2"/>
      <w:bookmarkEnd w:id="55842452"/>
      <w:hyperlink w:anchor="note2" w:history="1">
        <w:r>
          <w:rPr>
            <w:rFonts w:ascii="Arial" w:hAnsi="Arial" w:eastAsia="Arial" w:cs="Arial"/>
            <w:b/>
            <w:bCs/>
            <w:color w:val="006BB6"/>
            <w:position w:val="4"/>
            <w:sz w:val="22"/>
            <w:szCs w:val="22"/>
            <w:vertAlign w:val="superscript"/>
          </w:rPr>
          <w:t xml:space="preserve">2</w:t>
        </w:r>
      </w:hyperlink>
      <w:r>
        <w:rPr>
          <w:rFonts w:ascii="Arial" w:hAnsi="Arial" w:eastAsia="Arial" w:cs="Arial"/>
          <w:color w:val="000000"/>
          <w:sz w:val="20"/>
          <w:szCs w:val="20"/>
        </w:rPr>
        <w:br/>
        <w:t xml:space="preserve">… [Abteilung]</w:t>
      </w:r>
      <w:r>
        <w:rPr>
          <w:rFonts w:ascii="Arial" w:hAnsi="Arial" w:eastAsia="Arial" w:cs="Arial"/>
          <w:color w:val="000000"/>
          <w:sz w:val="20"/>
          <w:szCs w:val="20"/>
        </w:rPr>
        <w:br/>
        <w:t xml:space="preserve">… [Adresse]</w:t>
      </w:r>
    </w:p>
    <w:p>
      <w:pPr>
        <w:widowControl w:val="on"/>
        <w:pBdr/>
        <w:spacing w:before="140" w:after="240" w:line="288" w:lineRule="auto"/>
        <w:ind w:left="0" w:right="0"/>
        <w:jc w:val="right"/>
      </w:pPr>
      <w:r>
        <w:rPr>
          <w:rFonts w:ascii="Arial" w:hAnsi="Arial" w:eastAsia="Arial" w:cs="Arial"/>
          <w:color w:val="000000"/>
          <w:sz w:val="20"/>
          <w:szCs w:val="20"/>
        </w:rPr>
        <w:t xml:space="preserve">… [Ort], am … [Datum]</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Steuernummer: … [Steuernummer des Antragstellers], … [Name und
Anschrift des Antragstellers]</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Bescheid vom … [Datum des Abänderungsbescheides]</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Antrag auf </w:t>
      </w:r>
      <w:r>
        <w:rPr>
          <w:rFonts w:ascii="Arial" w:hAnsi="Arial" w:eastAsia="Arial" w:cs="Arial"/>
          <w:b/>
          <w:bCs/>
          <w:color w:val="363A40"/>
          <w:sz w:val="22"/>
          <w:szCs w:val="22"/>
        </w:rPr>
        <w:t xml:space="preserve">Herabsetzung</w:t>
      </w:r>
      <w:bookmarkStart w:id="4054957" w:name="link3"/>
      <w:bookmarkEnd w:id="4054957"/>
      <w:hyperlink w:anchor="note3" w:history="1">
        <w:r>
          <w:rPr>
            <w:rFonts w:ascii="Arial" w:hAnsi="Arial" w:eastAsia="Arial" w:cs="Arial"/>
            <w:b/>
            <w:bCs/>
            <w:color w:val="006BB6"/>
            <w:position w:val="5"/>
            <w:sz w:val="24"/>
            <w:szCs w:val="24"/>
            <w:vertAlign w:val="superscript"/>
          </w:rPr>
          <w:t xml:space="preserve">3</w:t>
        </w:r>
      </w:hyperlink>
      <w:r>
        <w:rPr>
          <w:rFonts w:ascii="Arial" w:hAnsi="Arial" w:eastAsia="Arial" w:cs="Arial"/>
          <w:b/>
          <w:bCs/>
          <w:color w:val="363A40"/>
          <w:sz w:val="22"/>
          <w:szCs w:val="22"/>
        </w:rPr>
        <w:t xml:space="preserve"> [oder: </w:t>
      </w:r>
      <w:r>
        <w:rPr>
          <w:rFonts w:ascii="Arial" w:hAnsi="Arial" w:eastAsia="Arial" w:cs="Arial"/>
          <w:b/>
          <w:bCs/>
          <w:color w:val="363A40"/>
          <w:sz w:val="22"/>
          <w:szCs w:val="22"/>
        </w:rPr>
        <w:t xml:space="preserve">Nichtfestsetzung</w:t>
      </w:r>
      <w:bookmarkStart w:id="99518451" w:name="link4"/>
      <w:bookmarkEnd w:id="99518451"/>
      <w:hyperlink w:anchor="note4" w:history="1">
        <w:r>
          <w:rPr>
            <w:rFonts w:ascii="Arial" w:hAnsi="Arial" w:eastAsia="Arial" w:cs="Arial"/>
            <w:b/>
            <w:bCs/>
            <w:color w:val="006BB6"/>
            <w:position w:val="5"/>
            <w:sz w:val="24"/>
            <w:szCs w:val="24"/>
            <w:vertAlign w:val="superscript"/>
          </w:rPr>
          <w:t xml:space="preserve">4</w:t>
        </w:r>
      </w:hyperlink>
      <w:r>
        <w:rPr>
          <w:rFonts w:ascii="Arial" w:hAnsi="Arial" w:eastAsia="Arial" w:cs="Arial"/>
          <w:b/>
          <w:bCs/>
          <w:color w:val="363A40"/>
          <w:sz w:val="22"/>
          <w:szCs w:val="22"/>
        </w:rPr>
        <w:t xml:space="preserve">]von </w:t>
      </w:r>
      <w:r>
        <w:rPr>
          <w:rFonts w:ascii="Arial" w:hAnsi="Arial" w:eastAsia="Arial" w:cs="Arial"/>
          <w:b/>
          <w:bCs/>
          <w:color w:val="363A40"/>
          <w:sz w:val="22"/>
          <w:szCs w:val="22"/>
        </w:rPr>
        <w:t xml:space="preserve">Anspruchszinsen</w:t>
      </w:r>
      <w:bookmarkStart w:id="96837912" w:name="link5"/>
      <w:bookmarkEnd w:id="96837912"/>
      <w:hyperlink w:anchor="note5" w:history="1">
        <w:r>
          <w:rPr>
            <w:rFonts w:ascii="Arial" w:hAnsi="Arial" w:eastAsia="Arial" w:cs="Arial"/>
            <w:b/>
            <w:bCs/>
            <w:color w:val="006BB6"/>
            <w:position w:val="5"/>
            <w:sz w:val="24"/>
            <w:szCs w:val="24"/>
            <w:vertAlign w:val="superscript"/>
          </w:rPr>
          <w:t xml:space="preserve">5</w:t>
        </w:r>
      </w:hyperlink>
      <w:r>
        <w:rPr>
          <w:rFonts w:ascii="Arial" w:hAnsi="Arial" w:eastAsia="Arial" w:cs="Arial"/>
          <w:b/>
          <w:bCs/>
          <w:color w:val="363A40"/>
          <w:sz w:val="22"/>
          <w:szCs w:val="22"/>
        </w:rPr>
        <w:t xml:space="preserve"> gem § 205
Abs 6 BAO</w:t>
      </w:r>
    </w:p>
    <w:p>
      <w:pPr>
        <w:widowControl w:val="on"/>
        <w:pBdr/>
        <w:spacing w:before="140" w:after="240" w:line="288" w:lineRule="auto"/>
        <w:ind w:left="0" w:right="0"/>
        <w:jc w:val="left"/>
      </w:pPr>
      <w:r>
        <w:rPr>
          <w:rFonts w:ascii="Arial" w:hAnsi="Arial" w:eastAsia="Arial" w:cs="Arial"/>
          <w:color w:val="000000"/>
          <w:sz w:val="20"/>
          <w:szCs w:val="20"/>
        </w:rPr>
        <w:t xml:space="preserve">Sehr geehrte Damen und Herren,</w:t>
      </w:r>
    </w:p>
    <w:p>
      <w:pPr>
        <w:widowControl w:val="on"/>
        <w:pBdr/>
        <w:spacing w:before="140" w:after="240" w:line="288" w:lineRule="auto"/>
        <w:ind w:left="0" w:right="0"/>
        <w:jc w:val="left"/>
      </w:pPr>
      <w:r>
        <w:rPr>
          <w:rFonts w:ascii="Arial" w:hAnsi="Arial" w:eastAsia="Arial" w:cs="Arial"/>
          <w:color w:val="000000"/>
          <w:sz w:val="20"/>
          <w:szCs w:val="20"/>
        </w:rPr>
        <w:t xml:space="preserve">im Auftrag und mit Vollmacht des eingangs benannten
Abgabepflichtigen stellen wir 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die mit Bescheid vom … [Datum des Abänderungsbescheides]
festgesetzten Anspruchszinsen auf die Einkommensteuerschuld des
Veranlagungsjahres … [Veranlagungsjahr] gem § 205 Abs 6
</w:t>
      </w:r>
      <w:r>
        <w:rPr>
          <w:rFonts w:ascii="Arial" w:hAnsi="Arial" w:eastAsia="Arial" w:cs="Arial"/>
          <w:color w:val="000000"/>
          <w:sz w:val="20"/>
          <w:szCs w:val="20"/>
        </w:rPr>
        <w:t xml:space="preserve">BAO</w:t>
      </w:r>
      <w:bookmarkStart w:id="70615967" w:name="link6"/>
      <w:bookmarkEnd w:id="70615967"/>
      <w:hyperlink w:anchor="note6" w:history="1">
        <w:r>
          <w:rPr>
            <w:rFonts w:ascii="Arial" w:hAnsi="Arial" w:eastAsia="Arial" w:cs="Arial"/>
            <w:b/>
            <w:bCs/>
            <w:color w:val="006BB6"/>
            <w:position w:val="4"/>
            <w:sz w:val="22"/>
            <w:szCs w:val="22"/>
            <w:vertAlign w:val="superscript"/>
          </w:rPr>
          <w:t xml:space="preserve">6</w:t>
        </w:r>
      </w:hyperlink>
      <w:r>
        <w:rPr>
          <w:rFonts w:ascii="Arial" w:hAnsi="Arial" w:eastAsia="Arial" w:cs="Arial"/>
          <w:color w:val="000000"/>
          <w:sz w:val="20"/>
          <w:szCs w:val="20"/>
        </w:rPr>
        <w:t xml:space="preserve"> herabzusetzen [oder:]
nicht festzusetzen und verweisen zur Begründung auf die
nachstehenden Ausführungen:</w:t>
      </w:r>
    </w:p>
    <w:p>
      <w:pPr>
        <w:widowControl w:val="on"/>
        <w:pBdr/>
        <w:spacing w:before="140" w:after="240" w:line="288" w:lineRule="auto"/>
        <w:ind w:left="0" w:right="0"/>
        <w:jc w:val="left"/>
      </w:pPr>
      <w:r>
        <w:rPr>
          <w:rFonts w:ascii="Arial" w:hAnsi="Arial" w:eastAsia="Arial" w:cs="Arial"/>
          <w:color w:val="000000"/>
          <w:sz w:val="20"/>
          <w:szCs w:val="20"/>
        </w:rPr>
        <w:t xml:space="preserve">Mit Bescheid vom … [Datum des Abänderungsbescheides] wurde der
Einkommensteuerbescheid vom … [Datum des Einkommensteuerbescheides]
abgeändert und es wurde die Einkommensteuer für das
Veranlagungsjahr … [Veranlagungsjahr] mit EUR … [Betrag]
festgesetzt. Mit der sich daraus ergebenden Nachforderung ging
dabei eine entsprechende Erhöhung der Anspruchszinsen einher.</w:t>
      </w:r>
    </w:p>
    <w:p>
      <w:pPr>
        <w:widowControl w:val="on"/>
        <w:pBdr/>
        <w:spacing w:before="140" w:after="240" w:line="288" w:lineRule="auto"/>
        <w:ind w:left="0" w:right="0"/>
        <w:jc w:val="left"/>
      </w:pPr>
      <w:r>
        <w:rPr>
          <w:rFonts w:ascii="Arial" w:hAnsi="Arial" w:eastAsia="Arial" w:cs="Arial"/>
          <w:color w:val="000000"/>
          <w:sz w:val="20"/>
          <w:szCs w:val="20"/>
        </w:rPr>
        <w:t xml:space="preserve">Da die Nachforderung im Ausmaß von EUR … [Differenzbetrag]
auf ein rückwirkendes </w:t>
      </w:r>
      <w:r>
        <w:rPr>
          <w:rFonts w:ascii="Arial" w:hAnsi="Arial" w:eastAsia="Arial" w:cs="Arial"/>
          <w:color w:val="000000"/>
          <w:sz w:val="20"/>
          <w:szCs w:val="20"/>
        </w:rPr>
        <w:t xml:space="preserve">Ereignis</w:t>
      </w:r>
      <w:bookmarkStart w:id="75837382" w:name="link8"/>
      <w:bookmarkEnd w:id="75837382"/>
      <w:hyperlink w:anchor="note8" w:history="1">
        <w:r>
          <w:rPr>
            <w:rFonts w:ascii="Arial" w:hAnsi="Arial" w:eastAsia="Arial" w:cs="Arial"/>
            <w:b/>
            <w:bCs/>
            <w:color w:val="006BB6"/>
            <w:position w:val="4"/>
            <w:sz w:val="22"/>
            <w:szCs w:val="22"/>
            <w:vertAlign w:val="superscript"/>
          </w:rPr>
          <w:t xml:space="preserve">8</w:t>
        </w:r>
      </w:hyperlink>
      <w:r>
        <w:rPr>
          <w:rFonts w:ascii="Arial" w:hAnsi="Arial" w:eastAsia="Arial" w:cs="Arial"/>
          <w:color w:val="000000"/>
          <w:sz w:val="20"/>
          <w:szCs w:val="20"/>
        </w:rPr>
        <w:t xml:space="preserve"> iSd § 295a </w:t>
      </w:r>
      <w:r>
        <w:rPr>
          <w:rFonts w:ascii="Arial" w:hAnsi="Arial" w:eastAsia="Arial" w:cs="Arial"/>
          <w:color w:val="000000"/>
          <w:sz w:val="20"/>
          <w:szCs w:val="20"/>
        </w:rPr>
        <w:t xml:space="preserve">BAO</w:t>
      </w:r>
      <w:bookmarkStart w:id="96658026" w:name="link9"/>
      <w:bookmarkEnd w:id="96658026"/>
      <w:hyperlink w:anchor="note9" w:history="1">
        <w:r>
          <w:rPr>
            <w:rFonts w:ascii="Arial" w:hAnsi="Arial" w:eastAsia="Arial" w:cs="Arial"/>
            <w:b/>
            <w:bCs/>
            <w:color w:val="006BB6"/>
            <w:position w:val="4"/>
            <w:sz w:val="22"/>
            <w:szCs w:val="22"/>
            <w:vertAlign w:val="superscript"/>
          </w:rPr>
          <w:t xml:space="preserve">9</w:t>
        </w:r>
      </w:hyperlink>
      <w:r>
        <w:rPr>
          <w:rFonts w:ascii="Arial" w:hAnsi="Arial" w:eastAsia="Arial" w:cs="Arial"/>
          <w:color w:val="000000"/>
          <w:sz w:val="20"/>
          <w:szCs w:val="20"/>
        </w:rPr>
        <w:t xml:space="preserve"> zurückzuführen ist,
sind die auf diesen Differenzbetrag entfallenden Anspruchszinsen
gem § 205 Abs 6 BAO entsprechend herabzusetzen [oder:
nicht festzusetzen].</w:t>
      </w:r>
    </w:p>
    <w:p>
      <w:pPr>
        <w:widowControl w:val="on"/>
        <w:pBdr/>
        <w:spacing w:before="140" w:after="240" w:line="288" w:lineRule="auto"/>
        <w:ind w:left="0" w:right="0"/>
        <w:jc w:val="left"/>
      </w:pPr>
      <w:r>
        <w:rPr>
          <w:rFonts w:ascii="Arial" w:hAnsi="Arial" w:eastAsia="Arial" w:cs="Arial"/>
          <w:color w:val="000000"/>
          <w:sz w:val="20"/>
          <w:szCs w:val="20"/>
        </w:rPr>
        <w:t xml:space="preserve">Mit der Bitte um antragsgemäße Erledigung,</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[Unterschrift]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8149696" w:name="note1"/>
            <w:bookmarkEnd w:id="48149696"/>
            <w:bookmarkStart w:id="929405468253" w:name="note1"/>
            <w:r>
              <w:rPr>
                <w:rFonts w:ascii="Arial" w:hAnsi="Arial" w:eastAsia="Arial" w:cs="Arial"/>
                <w:b/>
                <w:bCs/>
                <w:color w:val="000000"/>
                <w:position w:val="0"/>
                <w:sz w:val="20"/>
                <w:szCs w:val="20"/>
              </w:rPr>
              <w:t xml:space="preserve">[1]</w:t>
            </w:r>
            <w:bookmarkEnd w:id="92940546825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Anbringen an die zuständigen Abgabenbehörden sind grundsätzlich
schriftlich, also durch persönliches Überbringen des
Beschwerdeschreibens, per Post, Fax oder über FinanzOnline
einzubringen. Elektronisch zugestellte Dokumente gelten als
zugestellt, sobald sie in den elektronischen Verfügungsbereich des
Empfängers gelangt sind (§ 98 Abs 2 BAO). Im Falle der
Zustellung via FinanzOnline ist dies der Zeitpunkt der Einbringung
der Daten in die „Databox“ (BFG vom 19.01.2026, RV/6100317/2025).
Telefonische Anbringen oder Anbringen per E-Mail sind dagegen
unwirksam. Ein Anbringen, das bei einer unzuständigen
Abgabenbehörde eingebracht wurde, kann von Amts wegen ohne
unnötigen Aufschub an die zuständige Abgabenbehörde weitergeleitet
werden. Laufende Fristen (zB Beschwerdefrist) werden dadurch
allerdings nicht gehemmt.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Um die tatsächliche und fristgerechte Einbringung gegebenenfalls
belegen zu können, empfiehlt sich außerdem dringend, das
Beschwerdeschreiben stets mittels eines eingeschriebenen Briefes an
die zuständige Abgabenbehörde zu versenden.</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7116417" w:name="note2"/>
            <w:bookmarkEnd w:id="37116417"/>
            <w:bookmarkStart w:id="9765969767462" w:name="note2"/>
            <w:r>
              <w:rPr>
                <w:rFonts w:ascii="Arial" w:hAnsi="Arial" w:eastAsia="Arial" w:cs="Arial"/>
                <w:b/>
                <w:bCs/>
                <w:color w:val="000000"/>
                <w:position w:val="0"/>
                <w:sz w:val="20"/>
                <w:szCs w:val="20"/>
              </w:rPr>
              <w:t xml:space="preserve">[2]</w:t>
            </w:r>
            <w:bookmarkEnd w:id="976596976746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Antrag muss grundsätzlich beim Finanzamt Österreich
eingebracht werden. Eine Anknüpfung an örtliche Zuständigkeiten –
wie beispielsweise an den Wohnsitz oder die Betriebsstätte –
erfolgt in der neuen Struktur nicht mehr. Ein Antrag iSd § 205
Abs 6 lit b BAO kann auch im Zuge eines
Beschwerdeverfahrens gestellt werden (vgl </w:t>
            </w:r>
            <w:r>
              <w:rPr>
                <w:rFonts w:ascii="Arial" w:hAnsi="Arial" w:eastAsia="Arial" w:cs="Arial"/>
                <w:i/>
                <w:iCs/>
                <w:color w:val="000000"/>
                <w:position w:val="0"/>
                <w:sz w:val="20"/>
                <w:szCs w:val="20"/>
              </w:rPr>
              <w:t xml:space="preserve">Ritz</w:t>
            </w:r>
            <w:r>
              <w:rPr>
                <w:rFonts w:ascii="Arial" w:hAnsi="Arial" w:eastAsia="Arial" w:cs="Arial"/>
                <w:color w:val="000000"/>
                <w:position w:val="0"/>
                <w:sz w:val="20"/>
                <w:szCs w:val="20"/>
              </w:rPr>
              <w:t xml:space="preserve">,
BAO</w:t>
            </w:r>
            <w:r>
              <w:rPr>
                <w:rFonts w:ascii="Arial" w:hAnsi="Arial" w:eastAsia="Arial" w:cs="Arial"/>
                <w:color w:val="000000"/>
                <w:position w:val="3"/>
                <w:sz w:val="18"/>
                <w:szCs w:val="18"/>
                <w:vertAlign w:val="superscript"/>
              </w:rPr>
              <w:t xml:space="preserve">6</w:t>
            </w:r>
            <w:r>
              <w:rPr>
                <w:rFonts w:ascii="Arial" w:hAnsi="Arial" w:eastAsia="Arial" w:cs="Arial"/>
                <w:color w:val="000000"/>
                <w:position w:val="0"/>
                <w:sz w:val="20"/>
                <w:szCs w:val="20"/>
              </w:rPr>
              <w:t xml:space="preserve">, § 205 Tz 51).</w:t>
            </w:r>
          </w:p>
          <w:p>
            <w:pPr>
              <w:widowControl w:val="on"/>
              <w:pBdr/>
              <w:spacing w:before="0" w:after="0" w:line="288" w:lineRule="auto"/>
              <w:ind w:left="0" w:right="0"/>
              <w:jc w:val="left"/>
              <w:textAlignment w:val="top"/>
            </w:pPr>
            <w:hyperlink w:anchor="link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7976305" w:name="note3"/>
            <w:bookmarkEnd w:id="27976305"/>
            <w:bookmarkStart w:id="7085790505824" w:name="note3"/>
            <w:r>
              <w:rPr>
                <w:rFonts w:ascii="Arial" w:hAnsi="Arial" w:eastAsia="Arial" w:cs="Arial"/>
                <w:b/>
                <w:bCs/>
                <w:color w:val="000000"/>
                <w:position w:val="0"/>
                <w:sz w:val="20"/>
                <w:szCs w:val="20"/>
              </w:rPr>
              <w:t xml:space="preserve">[3]</w:t>
            </w:r>
            <w:bookmarkEnd w:id="708579050582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in § 205 BAO normierten Anspruchszinsen sollen
(mögliche) Zinsvorteile bzw Zinsnachteile ausgleichen, die sich aus
unterschiedlichen Zeitpunkten der Abgabenfestsetzung ergeben
(</w:t>
            </w:r>
            <w:r>
              <w:rPr>
                <w:rFonts w:ascii="Arial" w:hAnsi="Arial" w:eastAsia="Arial" w:cs="Arial"/>
                <w:i/>
                <w:iCs/>
                <w:color w:val="000000"/>
                <w:position w:val="0"/>
                <w:sz w:val="20"/>
                <w:szCs w:val="20"/>
              </w:rPr>
              <w:t xml:space="preserve">Ritz,</w:t>
            </w:r>
            <w:r>
              <w:rPr>
                <w:rFonts w:ascii="Arial" w:hAnsi="Arial" w:eastAsia="Arial" w:cs="Arial"/>
                <w:color w:val="000000"/>
                <w:position w:val="0"/>
                <w:sz w:val="20"/>
                <w:szCs w:val="20"/>
              </w:rPr>
              <w:t xml:space="preserve"> BAO, 5. Auflage, § 205 Tz 2). Die Herabsetzung
der festgesetzten Anspruchszinsen kann beantragt werden, wenn der
zu verzinsende Unterschiedsbetrag auf ein rückwirkendes Ereignis
iSd § 295a BAO (zB nachträglicher Ersatz von Werbungskosten
durch den Arbeitgeber) zurückzuführen ist und die Verzinsung den
Zeitraum vor dem Eintritt des rückwirkenden Ereignisses betrifft.
Darüber hinaus kann aber auch dann eine Herabsetzung der
Anspruchszinsen beantragt werden, wenn und insofern zum
maßgeblichen Zeitpunkt ein Guthaben auf dem Abgabenkonto bestanden
hat. Anspruchszinsen iSd § 205 BAO sind eine objektive
Rechtsfolge (BFG vom 01.04.2021, RV/2100333/2019).</w:t>
            </w:r>
          </w:p>
          <w:p>
            <w:pPr>
              <w:widowControl w:val="on"/>
              <w:pBdr/>
              <w:spacing w:before="0" w:after="0" w:line="288" w:lineRule="auto"/>
              <w:ind w:left="0" w:right="0"/>
              <w:jc w:val="left"/>
              <w:textAlignment w:val="top"/>
            </w:pPr>
            <w:hyperlink w:anchor="link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270621" w:name="note4"/>
            <w:bookmarkEnd w:id="4270621"/>
            <w:bookmarkStart w:id="7672939432383" w:name="note4"/>
            <w:r>
              <w:rPr>
                <w:rFonts w:ascii="Arial" w:hAnsi="Arial" w:eastAsia="Arial" w:cs="Arial"/>
                <w:b/>
                <w:bCs/>
                <w:color w:val="000000"/>
                <w:position w:val="0"/>
                <w:sz w:val="20"/>
                <w:szCs w:val="20"/>
              </w:rPr>
              <w:t xml:space="preserve">[4]</w:t>
            </w:r>
            <w:bookmarkEnd w:id="767293943238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Nichtfestsetzung ist dann zu beantragen, wenn der
Differenzbetrag zur Gänze auf den abgeänderten Bescheid
zurückzuführen ist und die festgesetzten Anspruchszinsen nur solche
Zeiträume betreffen, die vor der Erlassung des
Abänderungsbescheides (als rückwirkendes Ereignis iSd § 295a
BAO) liegen.</w:t>
            </w:r>
          </w:p>
          <w:p>
            <w:pPr>
              <w:widowControl w:val="on"/>
              <w:pBdr/>
              <w:spacing w:before="0" w:after="0" w:line="288" w:lineRule="auto"/>
              <w:ind w:left="0" w:right="0"/>
              <w:jc w:val="left"/>
              <w:textAlignment w:val="top"/>
            </w:pPr>
            <w:hyperlink w:anchor="link4"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2234047" w:name="note5"/>
            <w:bookmarkEnd w:id="12234047"/>
            <w:bookmarkStart w:id="9884628584454" w:name="note5"/>
            <w:r>
              <w:rPr>
                <w:rFonts w:ascii="Arial" w:hAnsi="Arial" w:eastAsia="Arial" w:cs="Arial"/>
                <w:b/>
                <w:bCs/>
                <w:color w:val="000000"/>
                <w:position w:val="0"/>
                <w:sz w:val="20"/>
                <w:szCs w:val="20"/>
              </w:rPr>
              <w:t xml:space="preserve">[5]</w:t>
            </w:r>
            <w:bookmarkEnd w:id="988462858445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Anspruchszinsen werden auf den Unterschiedsbetrag zwischen der
tatsächlichen Abgabenschuld laut Einkommensteuerbescheid (unter
Außerachtlassung von Anzahlungen) und den bislang geleisteten
Vorauszahlungen oder einer bisher festgesetzt gewesenen
(niedrigeren) Abgabenschuld erhoben. Der Zinsenlauf beginnt dabei
frühestens mit dem 1. Oktober des auf das gegenständliche
Veranlagungsjahr folgenden Kalenderjahres und endet mit der
Bekanntgabe des Einkommensteuerbescheides. Ergibt sich aus einem
Einkommen- oder Körperschaftsteuerbescheid eine Nachforderung, so
sind für solche Nachforderungen Anspruchszinsen
(Nachforderungszinsen) iHv zwei Prozent über dem Basiszinssatz
(dieser beträgt seit 01.10.2025 1,53 %, die Anspruchszinsen
somit 3,53 %) zu entrichten. Anspruchszinsenbescheide sind an
die Stammabgabenbescheide gebunden. Wenn sich diese nachträglich
als rechtswidrig erweisen und abgeändert oder aufgehoben werden,
sind neue, an die geänderten Stammabgabenbescheide gebundene
Anspruchszinsenbescheide zu erlassen. Wegen der genannten Bindung
ist der Zinsenbescheid nicht (mit Aussicht auf Erfolg) mit der
Begründung anfechtbar, der maßgebende Einkommensteuerbescheid sei
inhaltlich rechtswidrig (vgl </w:t>
            </w:r>
            <w:r>
              <w:rPr>
                <w:rFonts w:ascii="Arial" w:hAnsi="Arial" w:eastAsia="Arial" w:cs="Arial"/>
                <w:i/>
                <w:iCs/>
                <w:color w:val="000000"/>
                <w:position w:val="0"/>
                <w:sz w:val="20"/>
                <w:szCs w:val="20"/>
              </w:rPr>
              <w:t xml:space="preserve">Ritz,</w:t>
            </w:r>
            <w:r>
              <w:rPr>
                <w:rFonts w:ascii="Arial" w:hAnsi="Arial" w:eastAsia="Arial" w:cs="Arial"/>
                <w:color w:val="000000"/>
                <w:position w:val="0"/>
                <w:sz w:val="20"/>
                <w:szCs w:val="20"/>
              </w:rPr>
              <w:t xml:space="preserve"> BAO</w:t>
            </w:r>
            <w:r>
              <w:rPr>
                <w:rFonts w:ascii="Arial" w:hAnsi="Arial" w:eastAsia="Arial" w:cs="Arial"/>
                <w:color w:val="000000"/>
                <w:position w:val="3"/>
                <w:sz w:val="18"/>
                <w:szCs w:val="18"/>
                <w:vertAlign w:val="superscript"/>
              </w:rPr>
              <w:t xml:space="preserve">7</w:t>
            </w:r>
            <w:r>
              <w:rPr>
                <w:rFonts w:ascii="Arial" w:hAnsi="Arial" w:eastAsia="Arial" w:cs="Arial"/>
                <w:color w:val="000000"/>
                <w:position w:val="0"/>
                <w:sz w:val="20"/>
                <w:szCs w:val="20"/>
              </w:rPr>
              <w:t xml:space="preserve">,
§ 205 Tz 34).</w:t>
            </w:r>
          </w:p>
          <w:p>
            <w:pPr>
              <w:widowControl w:val="on"/>
              <w:pBdr/>
              <w:spacing w:before="0" w:after="0" w:line="288" w:lineRule="auto"/>
              <w:ind w:left="0" w:right="0"/>
              <w:jc w:val="left"/>
              <w:textAlignment w:val="top"/>
            </w:pPr>
            <w:hyperlink w:anchor="link5"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5147869" w:name="note6"/>
            <w:bookmarkEnd w:id="65147869"/>
            <w:bookmarkStart w:id="4869356221680" w:name="note6"/>
            <w:r>
              <w:rPr>
                <w:rFonts w:ascii="Arial" w:hAnsi="Arial" w:eastAsia="Arial" w:cs="Arial"/>
                <w:b/>
                <w:bCs/>
                <w:color w:val="000000"/>
                <w:position w:val="0"/>
                <w:sz w:val="20"/>
                <w:szCs w:val="20"/>
              </w:rPr>
              <w:t xml:space="preserve">[6]</w:t>
            </w:r>
            <w:bookmarkEnd w:id="486935622168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Es war die eindeutige und unzweifelhafte Absicht des
Gesetzgebers, mit der Bestimmung des § 205 BAO eine speziell
auf die Besonderheiten der Einkommen- und Körperschaftsteuer
zugeschnittene Regelung zu schaffen, weshalb mangels Vorliegens
einer echten Gesetzeslücke eine analoge Anwendung dieser Bestimmung
auf andere Abgaben nicht zulässig ist.</w:t>
            </w:r>
          </w:p>
          <w:p>
            <w:pPr>
              <w:widowControl w:val="on"/>
              <w:pBdr/>
              <w:spacing w:before="0" w:after="0" w:line="288" w:lineRule="auto"/>
              <w:ind w:left="0" w:right="0"/>
              <w:jc w:val="left"/>
              <w:textAlignment w:val="top"/>
            </w:pPr>
            <w:hyperlink w:anchor="link6"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960414" w:name="note7"/>
            <w:bookmarkEnd w:id="6960414"/>
            <w:bookmarkStart w:id="9270091432072" w:name="note7"/>
            <w:r>
              <w:rPr>
                <w:rFonts w:ascii="Arial" w:hAnsi="Arial" w:eastAsia="Arial" w:cs="Arial"/>
                <w:b/>
                <w:bCs/>
                <w:color w:val="000000"/>
                <w:position w:val="0"/>
                <w:sz w:val="20"/>
                <w:szCs w:val="20"/>
              </w:rPr>
              <w:t xml:space="preserve">[7]</w:t>
            </w:r>
            <w:bookmarkEnd w:id="927009143207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 Antrag iSd § 205 Abs 6 lit b BAO kann auch im
Zuge eines Beschwerdeverfahrens gestellt werden. § 205
Abs 6 lit b BAO ermöglicht aber lediglich eine
Herabsetzung von Nachforderungszinsen, nicht hingegen eine darüber
hinausgehende Verzinsung eines Guthabens zugunsten des
Abgabepflichtigen (VwGH Ro 2018/15/0005).</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159943" w:name="note8"/>
            <w:bookmarkEnd w:id="2159943"/>
            <w:bookmarkStart w:id="2720167839258" w:name="note8"/>
            <w:r>
              <w:rPr>
                <w:rFonts w:ascii="Arial" w:hAnsi="Arial" w:eastAsia="Arial" w:cs="Arial"/>
                <w:b/>
                <w:bCs/>
                <w:color w:val="000000"/>
                <w:position w:val="0"/>
                <w:sz w:val="20"/>
                <w:szCs w:val="20"/>
              </w:rPr>
              <w:t xml:space="preserve">[8]</w:t>
            </w:r>
            <w:bookmarkEnd w:id="272016783925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Bilanz ist nur die Dokumentation von Schlussfolgerungen aus
einem oder mehreren Sachverhalten. Die Richtigstellung eines
falschen Bilanzansatzes (Bilanzberichtigung) zeitigt somit keine
steuerrechtliche Rückwirkung, da nur die Schlussfolgerungen
geändert werden, der diesen Schlussfolgerungen zugrunde liegende
Sachverhalt jedoch unverändert bleibt. § 205 Abs 6 BAO
ist auf daraus resultierende Differenzbeträge daher nicht anwendbar
(UFSW vom 20.09.2012, RV/1964-W/10).</w:t>
            </w:r>
          </w:p>
          <w:p>
            <w:pPr>
              <w:widowControl w:val="on"/>
              <w:pBdr/>
              <w:spacing w:before="0" w:after="0" w:line="288" w:lineRule="auto"/>
              <w:ind w:left="0" w:right="0"/>
              <w:jc w:val="left"/>
              <w:textAlignment w:val="top"/>
            </w:pPr>
            <w:hyperlink w:anchor="link8"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6543866" w:name="note9"/>
            <w:bookmarkEnd w:id="26543866"/>
            <w:bookmarkStart w:id="5136457189272" w:name="note9"/>
            <w:r>
              <w:rPr>
                <w:rFonts w:ascii="Arial" w:hAnsi="Arial" w:eastAsia="Arial" w:cs="Arial"/>
                <w:b/>
                <w:bCs/>
                <w:color w:val="000000"/>
                <w:position w:val="0"/>
                <w:sz w:val="20"/>
                <w:szCs w:val="20"/>
              </w:rPr>
              <w:t xml:space="preserve">[9]</w:t>
            </w:r>
            <w:bookmarkEnd w:id="513645718927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Gem § 205 Abs 6 BAO sind auf Antrag des
Abgabepflichtigen Nachforderungszinsen insoweit herabzusetzen bzw
nicht festzusetzen, als der Differenzbetrag Folge eines
rückwirkenden Ereignisses iSd § 295a BAO ist und die Zinsen
die Zeit vor Eintritt des Ereignisses betreffen. Der Zuschlag gem
§ 22 Abs 3 KStG 1988 entsteht rückwirkend in dem Jahr, in
dem die betreffenden Aufwendungen angefallen sind und erhöht für
dieses Jahr die Körperschaftsteuer. Es liegt sohin ein
rückwirkendes Ereignis iSd § 295a BAO vor. In Bezug auf den
Teil der Körperschaftssteuer, der sich aus § 22 Abs 3
KStG ergibt, sind die Anspruchszinsen somit, soweit sie auf den
Rückwirkungszeitraum entfallen, auf Antrag des Steuerpflichtigen
herabzusetzen und nur für Zeiträume ab Eintritt des rückwirkenden
Ereignisses vorzuschreiben. Das rückwirkende Ereignis tritt mit
Verweigerung der Empfängernennung durch den Abgabepflichtigen bzw
mit Verstreichen der diesbezüglich von der Abgabenbehörde gesetzten
Frist ein. Der Antrag nach § 205 Abs 6 BAO kann auch im
Beschwerdeverfahren gestellt werden und muss diesfalls in der
Beschwerdeentscheidung berücksichtigt werden (VwGH Ro
2020/15/0019).</w:t>
            </w:r>
          </w:p>
          <w:p>
            <w:pPr>
              <w:widowControl w:val="on"/>
              <w:pBdr/>
              <w:spacing w:before="0" w:after="0" w:line="288" w:lineRule="auto"/>
              <w:ind w:left="0" w:right="0"/>
              <w:jc w:val="left"/>
              <w:textAlignment w:val="top"/>
            </w:pPr>
            <w:hyperlink w:anchor="link9" w:history="1">
              <w:r>
                <w:rPr>
                  <w:rFonts w:ascii="Arial" w:hAnsi="Arial" w:eastAsia="Arial" w:cs="Arial"/>
                  <w:color w:val="006BB6"/>
                  <w:position w:val="0"/>
                  <w:sz w:val="20"/>
                  <w:szCs w:val="20"/>
                  <w:u w:val="single"/>
                </w:rPr>
                <w:t xml:space="preserve">Zurück</w:t>
              </w:r>
            </w:hyperlink>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284552">
    <w:multiLevelType w:val="hybridMultilevel"/>
    <w:lvl w:ilvl="0" w:tplc="12069506">
      <w:start w:val="1"/>
      <w:numFmt w:val="decimal"/>
      <w:lvlText w:val="%1."/>
      <w:lvlJc w:val="left"/>
      <w:pPr>
        <w:ind w:left="720" w:hanging="360"/>
      </w:pPr>
    </w:lvl>
    <w:lvl w:ilvl="1" w:tplc="12069506" w:tentative="1">
      <w:start w:val="1"/>
      <w:numFmt w:val="lowerLetter"/>
      <w:lvlText w:val="%2."/>
      <w:lvlJc w:val="left"/>
      <w:pPr>
        <w:ind w:left="1440" w:hanging="360"/>
      </w:pPr>
    </w:lvl>
    <w:lvl w:ilvl="2" w:tplc="12069506" w:tentative="1">
      <w:start w:val="1"/>
      <w:numFmt w:val="lowerRoman"/>
      <w:lvlText w:val="%3."/>
      <w:lvlJc w:val="right"/>
      <w:pPr>
        <w:ind w:left="2160" w:hanging="180"/>
      </w:pPr>
    </w:lvl>
    <w:lvl w:ilvl="3" w:tplc="12069506" w:tentative="1">
      <w:start w:val="1"/>
      <w:numFmt w:val="decimal"/>
      <w:lvlText w:val="%4."/>
      <w:lvlJc w:val="left"/>
      <w:pPr>
        <w:ind w:left="2880" w:hanging="360"/>
      </w:pPr>
    </w:lvl>
    <w:lvl w:ilvl="4" w:tplc="12069506" w:tentative="1">
      <w:start w:val="1"/>
      <w:numFmt w:val="lowerLetter"/>
      <w:lvlText w:val="%5."/>
      <w:lvlJc w:val="left"/>
      <w:pPr>
        <w:ind w:left="3600" w:hanging="360"/>
      </w:pPr>
    </w:lvl>
    <w:lvl w:ilvl="5" w:tplc="12069506" w:tentative="1">
      <w:start w:val="1"/>
      <w:numFmt w:val="lowerRoman"/>
      <w:lvlText w:val="%6."/>
      <w:lvlJc w:val="right"/>
      <w:pPr>
        <w:ind w:left="4320" w:hanging="180"/>
      </w:pPr>
    </w:lvl>
    <w:lvl w:ilvl="6" w:tplc="12069506" w:tentative="1">
      <w:start w:val="1"/>
      <w:numFmt w:val="decimal"/>
      <w:lvlText w:val="%7."/>
      <w:lvlJc w:val="left"/>
      <w:pPr>
        <w:ind w:left="5040" w:hanging="360"/>
      </w:pPr>
    </w:lvl>
    <w:lvl w:ilvl="7" w:tplc="12069506" w:tentative="1">
      <w:start w:val="1"/>
      <w:numFmt w:val="lowerLetter"/>
      <w:lvlText w:val="%8."/>
      <w:lvlJc w:val="left"/>
      <w:pPr>
        <w:ind w:left="5760" w:hanging="360"/>
      </w:pPr>
    </w:lvl>
    <w:lvl w:ilvl="8" w:tplc="12069506" w:tentative="1">
      <w:start w:val="1"/>
      <w:numFmt w:val="lowerRoman"/>
      <w:lvlText w:val="%9."/>
      <w:lvlJc w:val="right"/>
      <w:pPr>
        <w:ind w:left="6480" w:hanging="180"/>
      </w:pPr>
    </w:lvl>
  </w:abstractNum>
  <w:abstractNum w:abstractNumId="65284551">
    <w:multiLevelType w:val="hybridMultilevel"/>
    <w:lvl w:ilvl="0" w:tplc="642492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284551">
    <w:abstractNumId w:val="65284551"/>
  </w:num>
  <w:num w:numId="65284552">
    <w:abstractNumId w:val="652845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66952759" Type="http://schemas.openxmlformats.org/officeDocument/2006/relationships/numbering" Target="numbering.xml"/><Relationship Id="rId612917752"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