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8271924" w:name="document"/>
    <w:bookmarkEnd w:id="18271924"/>
    <w:p/>
    <w:p>
      <w:pPr>
        <w:widowControl w:val="on"/>
        <w:pBdr/>
        <w:spacing w:before="0" w:after="280" w:line="240" w:lineRule="auto"/>
        <w:ind w:left="0" w:right="0"/>
        <w:jc w:val="left"/>
      </w:pPr>
      <w:r>
        <w:rPr>
          <w:rFonts w:ascii="Arial" w:hAnsi="Arial" w:eastAsia="Arial" w:cs="Arial"/>
          <w:color w:val="363A40"/>
          <w:sz w:val="24"/>
          <w:szCs w:val="24"/>
        </w:rPr>
        <w:t xml:space="preserve">Dokument-ID: 1008715 | Raphael Albert - Albert
Scherzer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Zahlungserleichterung: Stundung</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Einschreiben</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Finanzamt Österreich</w:t>
      </w:r>
      <w:r>
        <w:rPr>
          <w:rFonts w:ascii="Arial" w:hAnsi="Arial" w:eastAsia="Arial" w:cs="Arial"/>
          <w:color w:val="000000"/>
          <w:sz w:val="20"/>
          <w:szCs w:val="20"/>
        </w:rPr>
        <w:br/>
        <w:t xml:space="preserve">… [Abteilung]</w:t>
      </w:r>
      <w:r>
        <w:rPr>
          <w:rFonts w:ascii="Arial" w:hAnsi="Arial" w:eastAsia="Arial" w:cs="Arial"/>
          <w:color w:val="000000"/>
          <w:sz w:val="20"/>
          <w:szCs w:val="20"/>
        </w:rPr>
        <w:br/>
        <w:t xml:space="preserve">… [Adresse]</w:t>
      </w:r>
    </w:p>
    <w:p>
      <w:pPr>
        <w:widowControl w:val="on"/>
        <w:pBdr/>
        <w:spacing w:before="140" w:after="240" w:line="288" w:lineRule="auto"/>
        <w:ind w:left="0" w:right="0"/>
        <w:jc w:val="right"/>
      </w:pPr>
      <w:r>
        <w:rPr>
          <w:rFonts w:ascii="Arial" w:hAnsi="Arial" w:eastAsia="Arial" w:cs="Arial"/>
          <w:color w:val="000000"/>
          <w:sz w:val="20"/>
          <w:szCs w:val="20"/>
        </w:rPr>
        <w:t xml:space="preserve">… [Ort], am … [Datum]</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Steuernummer: … [Steuernummer des Antragstellers], … [Name und
Anschrift des Antragstellers]</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Einkommensteuerbescheid vom … [Datum des
Einkommensteuerbescheides]</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Ansuchen um Zahlungserleichterung gem § 212 BAO</w:t>
      </w:r>
    </w:p>
    <w:p>
      <w:pPr>
        <w:widowControl w:val="on"/>
        <w:pBdr/>
        <w:spacing w:before="140" w:after="240" w:line="288" w:lineRule="auto"/>
        <w:ind w:left="0" w:right="0"/>
        <w:jc w:val="left"/>
      </w:pPr>
      <w:r>
        <w:rPr>
          <w:rFonts w:ascii="Arial" w:hAnsi="Arial" w:eastAsia="Arial" w:cs="Arial"/>
          <w:color w:val="000000"/>
          <w:sz w:val="20"/>
          <w:szCs w:val="20"/>
        </w:rPr>
        <w:t xml:space="preserve">Sehr geehrte Damen und Herren,</w:t>
      </w:r>
    </w:p>
    <w:p>
      <w:pPr>
        <w:widowControl w:val="on"/>
        <w:pBdr/>
        <w:spacing w:before="140" w:after="240" w:line="288" w:lineRule="auto"/>
        <w:ind w:left="0" w:right="0"/>
        <w:jc w:val="left"/>
      </w:pPr>
      <w:r>
        <w:rPr>
          <w:rFonts w:ascii="Arial" w:hAnsi="Arial" w:eastAsia="Arial" w:cs="Arial"/>
          <w:color w:val="000000"/>
          <w:sz w:val="20"/>
          <w:szCs w:val="20"/>
        </w:rPr>
        <w:t xml:space="preserve">im Auftrag und mit Vollmacht des eingangs benannten
Abgabepflichtigen ergeht das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Ansuchen,</w:t>
      </w:r>
    </w:p>
    <w:p>
      <w:pPr>
        <w:widowControl w:val="on"/>
        <w:pBdr/>
        <w:spacing w:before="140" w:after="240" w:line="288" w:lineRule="auto"/>
        <w:ind w:left="0" w:right="0"/>
        <w:jc w:val="left"/>
      </w:pPr>
      <w:r>
        <w:rPr>
          <w:rFonts w:ascii="Arial" w:hAnsi="Arial" w:eastAsia="Arial" w:cs="Arial"/>
          <w:color w:val="000000"/>
          <w:sz w:val="20"/>
          <w:szCs w:val="20"/>
        </w:rPr>
        <w:t xml:space="preserve">die derzeit auf dem Abgabenkonto des Antragstellers ausgewiesene
Einkommensteuerschuld in Höhe von EUR … [Betrag] gem
§ 212 BAO bis zum … </w:t>
      </w:r>
      <w:r>
        <w:rPr>
          <w:rFonts w:ascii="Arial" w:hAnsi="Arial" w:eastAsia="Arial" w:cs="Arial"/>
          <w:color w:val="000000"/>
          <w:sz w:val="20"/>
          <w:szCs w:val="20"/>
        </w:rPr>
        <w:t xml:space="preserve">[Datum]</w:t>
      </w:r>
      <w:bookmarkStart w:id="47356396" w:name="link1"/>
      <w:bookmarkEnd w:id="47356396"/>
      <w:hyperlink w:anchor="note1" w:history="1">
        <w:r>
          <w:rPr>
            <w:rFonts w:ascii="Arial" w:hAnsi="Arial" w:eastAsia="Arial" w:cs="Arial"/>
            <w:b/>
            <w:bCs/>
            <w:color w:val="006BB6"/>
            <w:position w:val="4"/>
            <w:sz w:val="22"/>
            <w:szCs w:val="22"/>
            <w:vertAlign w:val="superscript"/>
          </w:rPr>
          <w:t xml:space="preserve">1</w:t>
        </w:r>
      </w:hyperlink>
      <w:r>
        <w:rPr>
          <w:rFonts w:ascii="Arial" w:hAnsi="Arial" w:eastAsia="Arial" w:cs="Arial"/>
          <w:color w:val="000000"/>
          <w:sz w:val="20"/>
          <w:szCs w:val="20"/>
        </w:rPr>
        <w:t xml:space="preserve"> zu stunden und
verweisen zur Begründung auf die nachstehenden Ausführungen:</w:t>
      </w:r>
    </w:p>
    <w:p>
      <w:pPr>
        <w:widowControl w:val="on"/>
        <w:pBdr/>
        <w:spacing w:before="140" w:after="240" w:line="288" w:lineRule="auto"/>
        <w:ind w:left="0" w:right="0"/>
        <w:jc w:val="left"/>
      </w:pPr>
      <w:r>
        <w:rPr>
          <w:rFonts w:ascii="Arial" w:hAnsi="Arial" w:eastAsia="Arial" w:cs="Arial"/>
          <w:color w:val="000000"/>
          <w:sz w:val="20"/>
          <w:szCs w:val="20"/>
        </w:rPr>
        <w:t xml:space="preserve">Die sofortige Entrichtung der aushaftenden Einkommensteuer wäre
im Hinblick auf … [Beschreibung der wirtschaftlichen Notlage oder
finanziellen Bedrängnis des </w:t>
      </w:r>
      <w:r>
        <w:rPr>
          <w:rFonts w:ascii="Arial" w:hAnsi="Arial" w:eastAsia="Arial" w:cs="Arial"/>
          <w:color w:val="000000"/>
          <w:sz w:val="20"/>
          <w:szCs w:val="20"/>
        </w:rPr>
        <w:t xml:space="preserve">Abgabenpflichtigen]</w:t>
      </w:r>
      <w:bookmarkStart w:id="47578489" w:name="link2"/>
      <w:bookmarkEnd w:id="47578489"/>
      <w:hyperlink w:anchor="note2" w:history="1">
        <w:r>
          <w:rPr>
            <w:rFonts w:ascii="Arial" w:hAnsi="Arial" w:eastAsia="Arial" w:cs="Arial"/>
            <w:b/>
            <w:bCs/>
            <w:color w:val="006BB6"/>
            <w:position w:val="4"/>
            <w:sz w:val="22"/>
            <w:szCs w:val="22"/>
            <w:vertAlign w:val="superscript"/>
          </w:rPr>
          <w:t xml:space="preserve">2</w:t>
        </w:r>
      </w:hyperlink>
      <w:r>
        <w:rPr>
          <w:rFonts w:ascii="Arial" w:hAnsi="Arial" w:eastAsia="Arial" w:cs="Arial"/>
          <w:color w:val="000000"/>
          <w:sz w:val="20"/>
          <w:szCs w:val="20"/>
        </w:rPr>
        <w:t xml:space="preserve"> mit erheblichen
Härten verbunden. Dabei wird die Einbringlichkeit der Steuerschuld
durch die Bewilligung einer Stundung nicht </w:t>
      </w:r>
      <w:r>
        <w:rPr>
          <w:rFonts w:ascii="Arial" w:hAnsi="Arial" w:eastAsia="Arial" w:cs="Arial"/>
          <w:color w:val="000000"/>
          <w:sz w:val="20"/>
          <w:szCs w:val="20"/>
        </w:rPr>
        <w:t xml:space="preserve">gefährdet,</w:t>
      </w:r>
      <w:bookmarkStart w:id="34039682" w:name="link3"/>
      <w:bookmarkEnd w:id="34039682"/>
      <w:hyperlink w:anchor="note3" w:history="1">
        <w:r>
          <w:rPr>
            <w:rFonts w:ascii="Arial" w:hAnsi="Arial" w:eastAsia="Arial" w:cs="Arial"/>
            <w:b/>
            <w:bCs/>
            <w:color w:val="006BB6"/>
            <w:position w:val="4"/>
            <w:sz w:val="22"/>
            <w:szCs w:val="22"/>
            <w:vertAlign w:val="superscript"/>
          </w:rPr>
          <w:t xml:space="preserve">3</w:t>
        </w:r>
      </w:hyperlink>
      <w:r>
        <w:rPr>
          <w:rFonts w:ascii="Arial" w:hAnsi="Arial" w:eastAsia="Arial" w:cs="Arial"/>
          <w:color w:val="000000"/>
          <w:sz w:val="20"/>
          <w:szCs w:val="20"/>
        </w:rPr>
        <w:t xml:space="preserve"> da … [Beschreibung der
maßgeblichen </w:t>
      </w:r>
      <w:r>
        <w:rPr>
          <w:rFonts w:ascii="Arial" w:hAnsi="Arial" w:eastAsia="Arial" w:cs="Arial"/>
          <w:color w:val="000000"/>
          <w:sz w:val="20"/>
          <w:szCs w:val="20"/>
        </w:rPr>
        <w:t xml:space="preserve">Umstände].</w:t>
      </w:r>
      <w:bookmarkStart w:id="90097847" w:name="link4"/>
      <w:bookmarkEnd w:id="90097847"/>
      <w:hyperlink w:anchor="note4" w:history="1">
        <w:r>
          <w:rPr>
            <w:rFonts w:ascii="Arial" w:hAnsi="Arial" w:eastAsia="Arial" w:cs="Arial"/>
            <w:b/>
            <w:bCs/>
            <w:color w:val="006BB6"/>
            <w:position w:val="4"/>
            <w:sz w:val="22"/>
            <w:szCs w:val="22"/>
            <w:vertAlign w:val="superscript"/>
          </w:rPr>
          <w:t xml:space="preserve">4</w:t>
        </w:r>
      </w:hyperlink>
    </w:p>
    <w:p>
      <w:pPr>
        <w:widowControl w:val="on"/>
        <w:pBdr/>
        <w:spacing w:before="140" w:after="240" w:line="288" w:lineRule="auto"/>
        <w:ind w:left="0" w:right="0"/>
        <w:jc w:val="left"/>
      </w:pPr>
      <w:r>
        <w:rPr>
          <w:rFonts w:ascii="Arial" w:hAnsi="Arial" w:eastAsia="Arial" w:cs="Arial"/>
          <w:color w:val="000000"/>
          <w:sz w:val="20"/>
          <w:szCs w:val="20"/>
        </w:rPr>
        <w:t xml:space="preserve">Mit der Bitte um ansuchensgemäße Erledigung,</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3323856" w:name="note1"/>
            <w:bookmarkEnd w:id="73323856"/>
            <w:bookmarkStart w:id="606583264810" w:name="note1"/>
            <w:r>
              <w:rPr>
                <w:rFonts w:ascii="Arial" w:hAnsi="Arial" w:eastAsia="Arial" w:cs="Arial"/>
                <w:b/>
                <w:bCs/>
                <w:color w:val="000000"/>
                <w:position w:val="0"/>
                <w:sz w:val="20"/>
                <w:szCs w:val="20"/>
              </w:rPr>
              <w:t xml:space="preserve">[1]</w:t>
            </w:r>
            <w:bookmarkEnd w:id="60658326481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Nach Verstreichen des Termins, bis zu welchem ein
Abgabepflichtiger die Stundung begehrt hat, kann die Behörde bei
Erlassung ihres Bescheides diese vom Abgabepflichtigen begehrte
Stundung nicht mehr (rückwirkend – ex tunc) gewähren (BFG
22.06.2017, RV/7104588/2016).</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0410050" w:name="note2"/>
            <w:bookmarkEnd w:id="40410050"/>
            <w:bookmarkStart w:id="9442835620446" w:name="note2"/>
            <w:r>
              <w:rPr>
                <w:rFonts w:ascii="Arial" w:hAnsi="Arial" w:eastAsia="Arial" w:cs="Arial"/>
                <w:b/>
                <w:bCs/>
                <w:color w:val="000000"/>
                <w:position w:val="0"/>
                <w:sz w:val="20"/>
                <w:szCs w:val="20"/>
              </w:rPr>
              <w:t xml:space="preserve">[2]</w:t>
            </w:r>
            <w:bookmarkEnd w:id="944283562044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Zur Begründung können bspw finanzielle Aufwendungen zur
Erfüllung einer bestehenden Obsorgeverpflichtung für minderjährige
Kinder, bestehende Unterhaltsverpflichtungen, das zeitliche
Zusammenfallen mehrerer Nachzahlungen oder geringes Einkommen
angeführt werden.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Zahlungserleichterungsbescheide iSd § 212 BAO sind
antragsgebundene Verwaltungsakte, wobei aber Abgaben, die mit den
vom Ansuchen erfassten Abgaben zusammengefasst verbucht werden,
miteinbezogen werden können. § 212 Abs 1 BAO ermöglicht
eine vom Ansuchen abweichende Einbeziehung von Abgaben für den
Fall, dass die Gebarung dieser Abgaben zusammengefasst verbucht
wird. § 212 Abs 2 BAO differenziert hingegen nicht
danach, ob die nachträglich herabgesetzte Abgabenschuld gemeinsam
mit anderen (gestundeten) Abgaben verbucht wurde (VwGH
2012/13/0114).</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5210074" w:name="note3"/>
            <w:bookmarkEnd w:id="15210074"/>
            <w:bookmarkStart w:id="5756436005050" w:name="note3"/>
            <w:r>
              <w:rPr>
                <w:rFonts w:ascii="Arial" w:hAnsi="Arial" w:eastAsia="Arial" w:cs="Arial"/>
                <w:b/>
                <w:bCs/>
                <w:color w:val="000000"/>
                <w:position w:val="0"/>
                <w:sz w:val="20"/>
                <w:szCs w:val="20"/>
              </w:rPr>
              <w:t xml:space="preserve">[3]</w:t>
            </w:r>
            <w:bookmarkEnd w:id="575643600505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Besteht bereits eine Gefährdung der Einbringlichkeit, dann ist
für die Gewährung von Zahlungserleichterungen ebenso kein Raum, als
wenn die Einbringlichkeit erst durch die Zahlungserleichterung
gefährdet wäre (BFG 22.05.2020, RV/7100280/2020).</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5124837" w:name="note4"/>
            <w:bookmarkEnd w:id="65124837"/>
            <w:bookmarkStart w:id="9743565423338" w:name="note4"/>
            <w:r>
              <w:rPr>
                <w:rFonts w:ascii="Arial" w:hAnsi="Arial" w:eastAsia="Arial" w:cs="Arial"/>
                <w:b/>
                <w:bCs/>
                <w:color w:val="000000"/>
                <w:position w:val="0"/>
                <w:sz w:val="20"/>
                <w:szCs w:val="20"/>
              </w:rPr>
              <w:t xml:space="preserve">[4]</w:t>
            </w:r>
            <w:bookmarkEnd w:id="974356542333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Gefährdung der Einbringlichkeit ist nicht anzunehmen, wenn
der Abgabepflichtige glaubhaft macht, dass er durch die Gewährung
der Zahlungserleichterung in die Lage versetzt wird, die vom
Zahlungserleichterungsansuchen umfassten Abgabenschuldigkeiten
innerhalb einer angemessenen Frist entrichten zu können. Die
Bewilligung der Entrichtung in Raten kann nur für die Gesamtsumme
der in der Gebarungsverrechnung (§ 213) enthaltenen Abgaben
oder bei Gesamtschuldverhältnissen für alle Abgaben des
Gesamtschuldverhältnisses erfolgen. Bei Ratenbewilligungen sind der
Höhe nach bescheidmäßig festgesetzte Abgabenschuldigkeiten
einzubeziehen, wenn deren Zahlungstermine in die Laufzeit der
Ratenbewilligung fallen.</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1451327" w:name="note5"/>
            <w:bookmarkEnd w:id="41451327"/>
            <w:bookmarkStart w:id="3793168020599" w:name="note5"/>
            <w:r>
              <w:rPr>
                <w:rFonts w:ascii="Arial" w:hAnsi="Arial" w:eastAsia="Arial" w:cs="Arial"/>
                <w:b/>
                <w:bCs/>
                <w:color w:val="000000"/>
                <w:position w:val="0"/>
                <w:sz w:val="20"/>
                <w:szCs w:val="20"/>
              </w:rPr>
              <w:t xml:space="preserve">[5]</w:t>
            </w:r>
            <w:bookmarkEnd w:id="379316802059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Stundungszinsen stellen einen eigenständigen Nebenanspruch dar,
der gem §§ 3, 4 und 212 Abs 2 BAO laufend mit der
Stundung entsteht. Nach dem Grundsatz der Zeitbezogenheit der
Abgaben ist für die Bemessung der Stundungszinsen die jeweils im
Zeitpunkt der Entstehung des Abgabenanspruches geltende Rechtslage
heranzuziehen (VwGH Ro 2015/15/0044).</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567300">
    <w:multiLevelType w:val="hybridMultilevel"/>
    <w:lvl w:ilvl="0" w:tplc="17118857">
      <w:start w:val="1"/>
      <w:numFmt w:val="decimal"/>
      <w:lvlText w:val="%1."/>
      <w:lvlJc w:val="left"/>
      <w:pPr>
        <w:ind w:left="720" w:hanging="360"/>
      </w:pPr>
    </w:lvl>
    <w:lvl w:ilvl="1" w:tplc="17118857" w:tentative="1">
      <w:start w:val="1"/>
      <w:numFmt w:val="lowerLetter"/>
      <w:lvlText w:val="%2."/>
      <w:lvlJc w:val="left"/>
      <w:pPr>
        <w:ind w:left="1440" w:hanging="360"/>
      </w:pPr>
    </w:lvl>
    <w:lvl w:ilvl="2" w:tplc="17118857" w:tentative="1">
      <w:start w:val="1"/>
      <w:numFmt w:val="lowerRoman"/>
      <w:lvlText w:val="%3."/>
      <w:lvlJc w:val="right"/>
      <w:pPr>
        <w:ind w:left="2160" w:hanging="180"/>
      </w:pPr>
    </w:lvl>
    <w:lvl w:ilvl="3" w:tplc="17118857" w:tentative="1">
      <w:start w:val="1"/>
      <w:numFmt w:val="decimal"/>
      <w:lvlText w:val="%4."/>
      <w:lvlJc w:val="left"/>
      <w:pPr>
        <w:ind w:left="2880" w:hanging="360"/>
      </w:pPr>
    </w:lvl>
    <w:lvl w:ilvl="4" w:tplc="17118857" w:tentative="1">
      <w:start w:val="1"/>
      <w:numFmt w:val="lowerLetter"/>
      <w:lvlText w:val="%5."/>
      <w:lvlJc w:val="left"/>
      <w:pPr>
        <w:ind w:left="3600" w:hanging="360"/>
      </w:pPr>
    </w:lvl>
    <w:lvl w:ilvl="5" w:tplc="17118857" w:tentative="1">
      <w:start w:val="1"/>
      <w:numFmt w:val="lowerRoman"/>
      <w:lvlText w:val="%6."/>
      <w:lvlJc w:val="right"/>
      <w:pPr>
        <w:ind w:left="4320" w:hanging="180"/>
      </w:pPr>
    </w:lvl>
    <w:lvl w:ilvl="6" w:tplc="17118857" w:tentative="1">
      <w:start w:val="1"/>
      <w:numFmt w:val="decimal"/>
      <w:lvlText w:val="%7."/>
      <w:lvlJc w:val="left"/>
      <w:pPr>
        <w:ind w:left="5040" w:hanging="360"/>
      </w:pPr>
    </w:lvl>
    <w:lvl w:ilvl="7" w:tplc="17118857" w:tentative="1">
      <w:start w:val="1"/>
      <w:numFmt w:val="lowerLetter"/>
      <w:lvlText w:val="%8."/>
      <w:lvlJc w:val="left"/>
      <w:pPr>
        <w:ind w:left="5760" w:hanging="360"/>
      </w:pPr>
    </w:lvl>
    <w:lvl w:ilvl="8" w:tplc="17118857" w:tentative="1">
      <w:start w:val="1"/>
      <w:numFmt w:val="lowerRoman"/>
      <w:lvlText w:val="%9."/>
      <w:lvlJc w:val="right"/>
      <w:pPr>
        <w:ind w:left="6480" w:hanging="180"/>
      </w:pPr>
    </w:lvl>
  </w:abstractNum>
  <w:abstractNum w:abstractNumId="15567299">
    <w:multiLevelType w:val="hybridMultilevel"/>
    <w:lvl w:ilvl="0" w:tplc="218394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567299">
    <w:abstractNumId w:val="15567299"/>
  </w:num>
  <w:num w:numId="15567300">
    <w:abstractNumId w:val="155673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89847450" Type="http://schemas.openxmlformats.org/officeDocument/2006/relationships/numbering" Target="numbering.xml"/><Relationship Id="rId143730933"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