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3192958" w:name="document"/>
    <w:bookmarkEnd w:id="23192958"/>
    <w:p/>
    <w:p>
      <w:pPr>
        <w:widowControl w:val="on"/>
        <w:pBdr/>
        <w:spacing w:before="0" w:after="280" w:line="240" w:lineRule="auto"/>
        <w:ind w:left="0" w:right="0"/>
        <w:jc w:val="left"/>
      </w:pPr>
      <w:r>
        <w:rPr>
          <w:rFonts w:ascii="Arial" w:hAnsi="Arial" w:eastAsia="Arial" w:cs="Arial"/>
          <w:color w:val="363A40"/>
          <w:sz w:val="24"/>
          <w:szCs w:val="24"/>
        </w:rPr>
        <w:t xml:space="preserve">Dokument-ID: 1008750 | Armin Obermayr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Verzicht der Ist-Besteuerung (§ 17 UStG) –
Freiberufler</w:t>
      </w:r>
    </w:p>
    <w:p>
      <w:pPr>
        <w:widowControl w:val="on"/>
        <w:pBdr/>
        <w:spacing w:before="140" w:after="240" w:line="288" w:lineRule="auto"/>
        <w:ind w:left="0" w:right="0"/>
        <w:jc w:val="left"/>
      </w:pPr>
      <w:r>
        <w:rPr>
          <w:rFonts w:ascii="Arial" w:hAnsi="Arial" w:eastAsia="Arial" w:cs="Arial"/>
          <w:color w:val="000000"/>
          <w:sz w:val="20"/>
          <w:szCs w:val="20"/>
        </w:rPr>
        <w:t xml:space="preserve">… [Briefkopf Unternehmen]</w:t>
      </w:r>
      <w:r>
        <w:rPr>
          <w:rFonts w:ascii="Arial" w:hAnsi="Arial" w:eastAsia="Arial" w:cs="Arial"/>
          <w:color w:val="000000"/>
          <w:sz w:val="20"/>
          <w:szCs w:val="20"/>
        </w:rPr>
        <w:br/>
        <w:t xml:space="preserve">+ Steuernummer</w:t>
      </w:r>
    </w:p>
    <w:p>
      <w:pPr>
        <w:widowControl w:val="on"/>
        <w:pBdr/>
        <w:spacing w:before="140" w:after="240" w:line="288" w:lineRule="auto"/>
        <w:ind w:left="0" w:right="0"/>
        <w:jc w:val="left"/>
      </w:pPr>
      <w:r>
        <w:rPr>
          <w:rFonts w:ascii="Arial" w:hAnsi="Arial" w:eastAsia="Arial" w:cs="Arial"/>
          <w:color w:val="000000"/>
          <w:sz w:val="20"/>
          <w:szCs w:val="20"/>
        </w:rPr>
        <w:t xml:space="preserve">An</w:t>
      </w:r>
      <w:r>
        <w:rPr>
          <w:rFonts w:ascii="Arial" w:hAnsi="Arial" w:eastAsia="Arial" w:cs="Arial"/>
          <w:color w:val="000000"/>
          <w:sz w:val="20"/>
          <w:szCs w:val="20"/>
        </w:rPr>
        <w:br/>
        <w:t xml:space="preserve">… [Name und Adresse Finanzamt]</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Verzicht auf Anwendung der Ist-Besteuerung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[Steuernummer Unternehmen]</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wir teilen Ihnen mit, dass wir ab … [Datum] auf die Anwendung
der Besteuerung nach vereinnahmten Entgelten gem § 17
Abs 1 UStG („Istbesteuerung“) verzichten und zur Besteuerung
nach vereinbarten Entgelten („Sollbesteuerung“) wechseln.</w:t>
      </w:r>
    </w:p>
    <w:p>
      <w:pPr>
        <w:widowControl w:val="on"/>
        <w:pBdr/>
        <w:spacing w:before="140" w:after="240" w:line="288" w:lineRule="auto"/>
        <w:ind w:left="0" w:right="0"/>
        <w:jc w:val="left"/>
      </w:pPr>
      <w:r>
        <w:rPr>
          <w:rFonts w:ascii="Arial" w:hAnsi="Arial" w:eastAsia="Arial" w:cs="Arial"/>
          <w:color w:val="000000"/>
          <w:sz w:val="20"/>
          <w:szCs w:val="20"/>
        </w:rPr>
        <w:t xml:space="preserve">Der hiermit eingebrachte Antrag auf Sollbesteuerung muss
spätestens zum Termin der Abgabe (Erstellung) der ersten
Voranmeldung für diesen Veranlagungszeitraum gestellt werden, was
hiermit zeitgerecht erfolgt ist.</w:t>
      </w:r>
    </w:p>
    <w:p>
      <w:pPr>
        <w:widowControl w:val="on"/>
        <w:pBdr/>
        <w:spacing w:before="140" w:after="240" w:line="288" w:lineRule="auto"/>
        <w:ind w:left="0" w:right="0"/>
        <w:jc w:val="left"/>
      </w:pPr>
      <w:r>
        <w:rPr>
          <w:rFonts w:ascii="Arial" w:hAnsi="Arial" w:eastAsia="Arial" w:cs="Arial"/>
          <w:color w:val="000000"/>
          <w:sz w:val="20"/>
          <w:szCs w:val="20"/>
        </w:rPr>
        <w:t xml:space="preserve">Für Rückfragen stehen wir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911830" w:name="note1"/>
            <w:bookmarkEnd w:id="19911830"/>
            <w:bookmarkStart w:id="7570505390738" w:name="note1"/>
            <w:r>
              <w:rPr>
                <w:rFonts w:ascii="Arial" w:hAnsi="Arial" w:eastAsia="Arial" w:cs="Arial"/>
                <w:b/>
                <w:bCs/>
                <w:color w:val="000000"/>
                <w:position w:val="0"/>
                <w:sz w:val="20"/>
                <w:szCs w:val="20"/>
              </w:rPr>
              <w:t xml:space="preserve">[1]</w:t>
            </w:r>
            <w:bookmarkEnd w:id="75705053907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Antrag für die Berechnung der Steuer nach vereinbarten
Entgelten muss vor Beginn des Veranlagungszeitraums spätestens aber
bei Abgabe (Erstellung) der ersten Voranmeldung für diesen
Veranlagungszeitraum gestellt werden (VwGH Ra 2022/15/0062).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vom österreichischen Gesetzgeber in § 17 Abs 1
UStG getroffene Bestimmung, wonach zusätzlich zu Unternehmern, die
eine Tätigkeit iSd § 22 Z 1 EStG 1988 ausüben, nur jene
einer freiberuflichen Tätigkeit entsprechende Leistungen
erbringenden Gesellschaften, die auch berufsrechtlich zugelassen
sind, die Steuer nach den vereinnahmten Entgelten zu berechnen
haben, folgt nicht dem unionsrechtlich vorgegebenen Rahmen. Eine
solche Regelung verstößt gegen den dem Mehrwertsteuersystem
zugrundeliegenden Gleichbehandlungsgrundsatz und die
Rechtsformneutralität, weil keine sachlichen Gründe für den
Ausschluss anderer Gesellschaften, die gleichfalls der Art nach
freiberufliche Tätigkeiten iSd § 22 Z 1 EStG 1988
erbringen (wie etwa eine Unternehmensberatungs-GmbH), von der
Istbesteuerung bestehen. Eine entsprechende Änderung des § 17
UStG ist bereits erfolgt (seit 01.01.2019, siehe auch VwGH Ro
2015/15/0045). Das Ist-System ist für den Unternehmer gegenüber dem
Soll-System in der Regel günstiger, weil er die Umsatzsteuer an das
Finanzamt erst abführen muss, nachdem er das Geld vom Kunden
erhalten hat. Im Soll-System ist die Umsatzsteuer auch von
Außenständen zu entrichten.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879299" w:name="note2"/>
            <w:bookmarkEnd w:id="63879299"/>
            <w:bookmarkStart w:id="7857052607575" w:name="note2"/>
            <w:r>
              <w:rPr>
                <w:rFonts w:ascii="Arial" w:hAnsi="Arial" w:eastAsia="Arial" w:cs="Arial"/>
                <w:b/>
                <w:bCs/>
                <w:color w:val="000000"/>
                <w:position w:val="0"/>
                <w:sz w:val="20"/>
                <w:szCs w:val="20"/>
              </w:rPr>
              <w:t xml:space="preserve">[2]</w:t>
            </w:r>
            <w:bookmarkEnd w:id="78570526075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ist bis zum Abgabetermin der ersten
Umsatzsteuervoranmeldung für den Veranlagungszeitraum (in der Regel
das Kalenderjahr) einzubringen. Dies ist daher normalerweise der
Termin der Umsatzsteuervormeldung für Jänner, also bis zum 15.März
des neuen Jahres. Es hat bereits für den ersten
Voranmeldungszeitraum festzustehen, nach welcher Besteuerungsart
vorzugehen ist, da der Unternehmer erst nach seiner Entscheidung,
nach welchem System er die Besteuerung vornimmt, seine
Aufzeichnungs- und Erklärungspflichten ordnungsgemäß erfüllen kann
(vgl </w:t>
            </w:r>
            <w:r>
              <w:rPr>
                <w:rFonts w:ascii="Arial" w:hAnsi="Arial" w:eastAsia="Arial" w:cs="Arial"/>
                <w:i/>
                <w:iCs/>
                <w:color w:val="000000"/>
                <w:position w:val="0"/>
                <w:sz w:val="20"/>
                <w:szCs w:val="20"/>
              </w:rPr>
              <w:t xml:space="preserve">Kolacny/Mayer</w:t>
            </w:r>
            <w:r>
              <w:rPr>
                <w:rFonts w:ascii="Arial" w:hAnsi="Arial" w:eastAsia="Arial" w:cs="Arial"/>
                <w:color w:val="000000"/>
                <w:position w:val="0"/>
                <w:sz w:val="20"/>
                <w:szCs w:val="20"/>
              </w:rPr>
              <w:t xml:space="preserve">, Umsatzsteuergesetz 19942, S 538,
</w:t>
            </w:r>
            <w:r>
              <w:rPr>
                <w:rFonts w:ascii="Arial" w:hAnsi="Arial" w:eastAsia="Arial" w:cs="Arial"/>
                <w:i/>
                <w:iCs/>
                <w:color w:val="000000"/>
                <w:position w:val="0"/>
                <w:sz w:val="20"/>
                <w:szCs w:val="20"/>
              </w:rPr>
              <w:t xml:space="preserve">Ruppe</w:t>
            </w:r>
            <w:r>
              <w:rPr>
                <w:rFonts w:ascii="Arial" w:hAnsi="Arial" w:eastAsia="Arial" w:cs="Arial"/>
                <w:color w:val="000000"/>
                <w:position w:val="0"/>
                <w:sz w:val="20"/>
                <w:szCs w:val="20"/>
              </w:rPr>
              <w:t xml:space="preserve">, Umsatzsteuergesetz 1994</w:t>
            </w:r>
            <w:r>
              <w:rPr>
                <w:rFonts w:ascii="Arial" w:hAnsi="Arial" w:eastAsia="Arial" w:cs="Arial"/>
                <w:color w:val="000000"/>
                <w:position w:val="3"/>
                <w:sz w:val="18"/>
                <w:szCs w:val="18"/>
                <w:vertAlign w:val="superscript"/>
              </w:rPr>
              <w:t xml:space="preserve">2</w:t>
            </w:r>
            <w:r>
              <w:rPr>
                <w:rFonts w:ascii="Arial" w:hAnsi="Arial" w:eastAsia="Arial" w:cs="Arial"/>
                <w:color w:val="000000"/>
                <w:position w:val="0"/>
                <w:sz w:val="20"/>
                <w:szCs w:val="20"/>
              </w:rPr>
              <w:t xml:space="preserve">, Tz 26 zu
§ 17).</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670469" w:name="note3"/>
            <w:bookmarkEnd w:id="62670469"/>
            <w:bookmarkStart w:id="6920725922334" w:name="note3"/>
            <w:r>
              <w:rPr>
                <w:rFonts w:ascii="Arial" w:hAnsi="Arial" w:eastAsia="Arial" w:cs="Arial"/>
                <w:b/>
                <w:bCs/>
                <w:color w:val="000000"/>
                <w:position w:val="0"/>
                <w:sz w:val="20"/>
                <w:szCs w:val="20"/>
              </w:rPr>
              <w:t xml:space="preserve">[3]</w:t>
            </w:r>
            <w:bookmarkEnd w:id="69207259223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Werden von einem Freiberufler mehrere Betriebe unterhalten (zB
Steuerberatung und Wirtschaftsprüfung; Arzt und Hausapotheke etc),
sieht das Gesetz nicht vor, dass das Abgehen von der
Ist-Besteuerung auf einzelne Betriebe des Freiberuflers
eingeschränkt werden kann.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191253" w:name="note4"/>
            <w:bookmarkEnd w:id="28191253"/>
            <w:bookmarkStart w:id="3351635149927" w:name="note4"/>
            <w:r>
              <w:rPr>
                <w:rFonts w:ascii="Arial" w:hAnsi="Arial" w:eastAsia="Arial" w:cs="Arial"/>
                <w:b/>
                <w:bCs/>
                <w:color w:val="000000"/>
                <w:position w:val="0"/>
                <w:sz w:val="20"/>
                <w:szCs w:val="20"/>
              </w:rPr>
              <w:t xml:space="preserve">[4]</w:t>
            </w:r>
            <w:bookmarkEnd w:id="33516351499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Verzicht auf die Ist-Besteuerung ist sicherzustellen, dass
keine Umsätze – aber auch keine Vorsteuern – doppelt erfasst oder
nicht erfasst werden. Deshalb sind bereits erbrachte, aber noch
nicht bezahlte Leistungen in der ersten USt-Voranmeldung nach
Übergang auf die Sollbesteuerung als Umsätze zu erfassen, während
Vorsteuern für noch nicht bezahlte aber bereits fakturierte
Leistungen in der ersten Umsatzsteuervoranmeldung nach Übergang auf
die Sollbesteuerung geltend gemacht werden können.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104920" w:name="note5"/>
            <w:bookmarkEnd w:id="15104920"/>
            <w:bookmarkStart w:id="8513409530432" w:name="note5"/>
            <w:r>
              <w:rPr>
                <w:rFonts w:ascii="Arial" w:hAnsi="Arial" w:eastAsia="Arial" w:cs="Arial"/>
                <w:b/>
                <w:bCs/>
                <w:color w:val="000000"/>
                <w:position w:val="0"/>
                <w:sz w:val="20"/>
                <w:szCs w:val="20"/>
              </w:rPr>
              <w:t xml:space="preserve">[5]</w:t>
            </w:r>
            <w:bookmarkEnd w:id="85134095304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Sollbesteuerung kann spätestens zum Termin der
Abgabe der ersten Voranmeldung des Folgejahres widerrufen
werden: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Musterformulierung: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Wir teilen Ihnen mit, dass wir ab … [Datum] von der Besteuerung
nach vereinbarten Entgelten („Sollbesteuerung“) zur Besteuerung
nach vereinnahmten Entgelten wechseln.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0744378" w:name="note6"/>
            <w:bookmarkEnd w:id="20744378"/>
            <w:bookmarkStart w:id="8999933041000" w:name="note6"/>
            <w:r>
              <w:rPr>
                <w:rFonts w:ascii="Arial" w:hAnsi="Arial" w:eastAsia="Arial" w:cs="Arial"/>
                <w:b/>
                <w:bCs/>
                <w:color w:val="000000"/>
                <w:position w:val="0"/>
                <w:sz w:val="20"/>
                <w:szCs w:val="20"/>
              </w:rPr>
              <w:t xml:space="preserve">[6]</w:t>
            </w:r>
            <w:bookmarkEnd w:id="899993304100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 Kapitalgesellschaften, die der freiberuflichen Tätigkeit
entsprechende Leistungen erbringen, der Istbesteuerung unterliegen,
hängt davon ab, ob sie nach dem jeweiligen Berufsrecht zugelassen
sind (VwGH Ro 2015/15/0045).</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760278" w:name="note7"/>
            <w:bookmarkEnd w:id="88760278"/>
            <w:bookmarkStart w:id="6541715952649" w:name="note7"/>
            <w:r>
              <w:rPr>
                <w:rFonts w:ascii="Arial" w:hAnsi="Arial" w:eastAsia="Arial" w:cs="Arial"/>
                <w:b/>
                <w:bCs/>
                <w:color w:val="000000"/>
                <w:position w:val="0"/>
                <w:sz w:val="20"/>
                <w:szCs w:val="20"/>
              </w:rPr>
              <w:t xml:space="preserve">[7]</w:t>
            </w:r>
            <w:bookmarkEnd w:id="654171595264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01.01.2019 wurde die Ist-Besteuerung auf Unternehmer, die
der Art nach eine (im Einkommensteuergesetz aufgezählte)
freiberufliche Tätigkeit ausüben, erweitert. Aus diesem Grund sind
nunmehr auch die freiberuflichen Kapitalgesellschaften, ohne das
Erfordernis einer berufsrechtlichen Zulassung, von der
Ist-Besteuerung umfasst.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462971" w:name="note8"/>
            <w:bookmarkEnd w:id="18462971"/>
            <w:bookmarkStart w:id="4890865601250" w:name="note8"/>
            <w:r>
              <w:rPr>
                <w:rFonts w:ascii="Arial" w:hAnsi="Arial" w:eastAsia="Arial" w:cs="Arial"/>
                <w:b/>
                <w:bCs/>
                <w:color w:val="000000"/>
                <w:position w:val="0"/>
                <w:sz w:val="20"/>
                <w:szCs w:val="20"/>
              </w:rPr>
              <w:t xml:space="preserve">[8]</w:t>
            </w:r>
            <w:bookmarkEnd w:id="48908656012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Istbesteuerung entsteht die Steuerschuld generell erst
mit Ablauf des Monats, in dem der leistende Unternehmer das Entgelt
vereinnahmt. Die Istbesteuerung findet vor allem für kleinere
Unternehmer, zB nicht buchführungspflichtige Gewerbebetriebe oder
Vermieter Anwendung. Freiberufler und bestimmte
Versorgungsunternehmen können die Istbesteuerung, unabhängig von
der Umsatzhöhe, anwenden. Ein Verzicht auf die Istbesteuerung und
die Versteuerung nach Soll-Grundsätzen ist auf Antrag für alle
Istbesteuerer zulässig.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14048">
    <w:multiLevelType w:val="hybridMultilevel"/>
    <w:lvl w:ilvl="0" w:tplc="82361822">
      <w:start w:val="1"/>
      <w:numFmt w:val="decimal"/>
      <w:lvlText w:val="%1."/>
      <w:lvlJc w:val="left"/>
      <w:pPr>
        <w:ind w:left="720" w:hanging="360"/>
      </w:pPr>
    </w:lvl>
    <w:lvl w:ilvl="1" w:tplc="82361822" w:tentative="1">
      <w:start w:val="1"/>
      <w:numFmt w:val="lowerLetter"/>
      <w:lvlText w:val="%2."/>
      <w:lvlJc w:val="left"/>
      <w:pPr>
        <w:ind w:left="1440" w:hanging="360"/>
      </w:pPr>
    </w:lvl>
    <w:lvl w:ilvl="2" w:tplc="82361822" w:tentative="1">
      <w:start w:val="1"/>
      <w:numFmt w:val="lowerRoman"/>
      <w:lvlText w:val="%3."/>
      <w:lvlJc w:val="right"/>
      <w:pPr>
        <w:ind w:left="2160" w:hanging="180"/>
      </w:pPr>
    </w:lvl>
    <w:lvl w:ilvl="3" w:tplc="82361822" w:tentative="1">
      <w:start w:val="1"/>
      <w:numFmt w:val="decimal"/>
      <w:lvlText w:val="%4."/>
      <w:lvlJc w:val="left"/>
      <w:pPr>
        <w:ind w:left="2880" w:hanging="360"/>
      </w:pPr>
    </w:lvl>
    <w:lvl w:ilvl="4" w:tplc="82361822" w:tentative="1">
      <w:start w:val="1"/>
      <w:numFmt w:val="lowerLetter"/>
      <w:lvlText w:val="%5."/>
      <w:lvlJc w:val="left"/>
      <w:pPr>
        <w:ind w:left="3600" w:hanging="360"/>
      </w:pPr>
    </w:lvl>
    <w:lvl w:ilvl="5" w:tplc="82361822" w:tentative="1">
      <w:start w:val="1"/>
      <w:numFmt w:val="lowerRoman"/>
      <w:lvlText w:val="%6."/>
      <w:lvlJc w:val="right"/>
      <w:pPr>
        <w:ind w:left="4320" w:hanging="180"/>
      </w:pPr>
    </w:lvl>
    <w:lvl w:ilvl="6" w:tplc="82361822" w:tentative="1">
      <w:start w:val="1"/>
      <w:numFmt w:val="decimal"/>
      <w:lvlText w:val="%7."/>
      <w:lvlJc w:val="left"/>
      <w:pPr>
        <w:ind w:left="5040" w:hanging="360"/>
      </w:pPr>
    </w:lvl>
    <w:lvl w:ilvl="7" w:tplc="82361822" w:tentative="1">
      <w:start w:val="1"/>
      <w:numFmt w:val="lowerLetter"/>
      <w:lvlText w:val="%8."/>
      <w:lvlJc w:val="left"/>
      <w:pPr>
        <w:ind w:left="5760" w:hanging="360"/>
      </w:pPr>
    </w:lvl>
    <w:lvl w:ilvl="8" w:tplc="82361822" w:tentative="1">
      <w:start w:val="1"/>
      <w:numFmt w:val="lowerRoman"/>
      <w:lvlText w:val="%9."/>
      <w:lvlJc w:val="right"/>
      <w:pPr>
        <w:ind w:left="6480" w:hanging="180"/>
      </w:pPr>
    </w:lvl>
  </w:abstractNum>
  <w:abstractNum w:abstractNumId="63014047">
    <w:multiLevelType w:val="hybridMultilevel"/>
    <w:lvl w:ilvl="0" w:tplc="93859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14047">
    <w:abstractNumId w:val="63014047"/>
  </w:num>
  <w:num w:numId="63014048">
    <w:abstractNumId w:val="63014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6833627" Type="http://schemas.openxmlformats.org/officeDocument/2006/relationships/numbering" Target="numbering.xml"/><Relationship Id="rId68455157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