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274889" w:name="document"/>
    <w:bookmarkEnd w:id="27274889"/>
    <w:p/>
    <w:p>
      <w:pPr>
        <w:widowControl w:val="on"/>
        <w:pBdr/>
        <w:spacing w:before="0" w:after="280" w:line="240" w:lineRule="auto"/>
        <w:ind w:left="0" w:right="0"/>
        <w:jc w:val="left"/>
      </w:pPr>
      <w:r>
        <w:rPr>
          <w:rFonts w:ascii="Arial" w:hAnsi="Arial" w:eastAsia="Arial" w:cs="Arial"/>
          <w:color w:val="363A40"/>
          <w:sz w:val="24"/>
          <w:szCs w:val="24"/>
        </w:rPr>
        <w:t xml:space="preserve">Dokument-ID: 1009070 | Armin Obermayr - Albert
Scherzer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Beschwerde innergemeinschaftliche Lieferung Vertrauensschutz
aufgrund Art 7 Abs 4 UStG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Steuerschuld des Abnehmers nach Art 7 Abs 4 UStG 1994
setzt voraus, dass der Abnehmer gegenüber dem Lieferanten falsche
Angaben gemacht hat, aufgrund welcher der Lieferant von einer
steuerfreien innergemeinschaftlichen Lieferung ausgehen konnte, und
dass der Lieferant die Unrichtigkeit dieser Angaben auch bei
Beachtung der Sorgfalt eines ordentlichen Kaufmanns nicht erkennen
konnte (VwGH Ra 2019/15/0125).</w:t>
      </w:r>
    </w:p>
    <w:p>
      <w:pPr>
        <w:widowControl w:val="on"/>
        <w:pBdr/>
        <w:spacing w:before="140" w:after="240" w:line="288" w:lineRule="auto"/>
        <w:ind w:left="0" w:right="0"/>
        <w:jc w:val="left"/>
      </w:pPr>
      <w:r>
        <w:rPr>
          <w:rFonts w:ascii="Arial" w:hAnsi="Arial" w:eastAsia="Arial" w:cs="Arial"/>
          <w:color w:val="000000"/>
          <w:sz w:val="20"/>
          <w:szCs w:val="20"/>
        </w:rPr>
        <w:br/>
        <w:t xml:space="preserve">Art 7 Abs 4 UStG</w:t>
      </w:r>
      <w:bookmarkStart w:id="79638458" w:name="link1"/>
      <w:bookmarkEnd w:id="79638458"/>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sieht vor, dass eine Lieferung auch bei
Nichtvorlage der materiellen Voraussetzungen dennoch steuerfrei
bleibt, wenn der die Inanspruchnahme der Steuerbefreiung auf
unrichtigen Angaben des Abnehmers beruht und der Unternehmer die
Unrichtigkeit dieser Angaben auch bei Beachtung der
Sorgfaltspflicht eines ordentlichen Kaufmanns nicht erkennen
konnte. Die Steuerschuld gemäß Artikel 7 Abs 4 UStG 1994
stellt eine Umsatzsteuerschuld eigener Art dar, die Unternehmer und
Nichtunternehmer treffen kann (VwGH Ra 2019/15/0125). Maßgebend
sind nicht die persönlichen Fähigkeiten, Gewohnheiten und
Kenntnisse des Unternehmers, sondern ein objektiver Maßstab, das
Verhalten eines ordentlichen, gewissenhaften Kaufmannes, wobei der
Sorgfaltsmaßstab nach Geschäftszweigen differieren kann (vgl VwGH
18.12.2006, 2006/16/0070, VwSlg 8187 F/2006). Die Frage, ob die
erforderliche Sorgfalt eingehalten wurde, ist eine
Einzelfallbeurteilung, die aufgrund der Umstände des konkreten
Sachverhalts zu treffen ist. Ob der Steuerpflichtige vom
Mehrwertsteuerbetrug wusste oder zumindest hätte wissen müssen,
hängt von Tatfragen ab, die die Abgabenbehörde in freier
Beweiswürdigung im Rahmen einer Gesamtbetrachtung aller
maßgeblichen Umstände des Einzelfalls zu beurteilen hat (VwGH Ra
2020/13/0040).</w:t>
      </w:r>
    </w:p>
    <w:p>
      <w:pPr>
        <w:widowControl w:val="on"/>
        <w:pBdr/>
        <w:spacing w:before="0" w:after="105" w:line="288" w:lineRule="auto"/>
        <w:ind w:left="0" w:right="0"/>
        <w:jc w:val="left"/>
      </w:pPr>
      <w:r>
        <w:rPr>
          <w:rFonts w:ascii="Arial" w:hAnsi="Arial" w:eastAsia="Arial" w:cs="Arial"/>
          <w:b/>
          <w:bCs/>
          <w:color w:val="277DB9"/>
          <w:sz w:val="25"/>
          <w:szCs w:val="25"/>
        </w:rPr>
        <w:t xml:space="preserve">Achtung:</w:t>
      </w:r>
    </w:p>
    <w:p>
      <w:pPr>
        <w:widowControl w:val="on"/>
        <w:pBdr/>
        <w:spacing w:before="140" w:after="240" w:line="288" w:lineRule="auto"/>
        <w:ind w:left="0" w:right="0"/>
        <w:jc w:val="left"/>
      </w:pPr>
      <w:r>
        <w:rPr>
          <w:rFonts w:ascii="Arial" w:hAnsi="Arial" w:eastAsia="Arial" w:cs="Arial"/>
          <w:color w:val="277DB9"/>
          <w:sz w:val="20"/>
          <w:szCs w:val="20"/>
        </w:rPr>
        <w:t xml:space="preserve">Der Verwaltungsgerichtshof hat klar ausgesprochen, dass die
Vertrauensschutzregelung des Art 7 Abs 4 UStG in Fällen
des innergemeinschaftlichen Verbringens iSd Art 3 Abs 1
Z 1 UStG nicht greift, weil es diesfalls an einem Abnehmer
mangelt, welcher unrichtige Angaben geliefert hätte (VwGH Ra
2020/16/0060).</w:t>
      </w:r>
    </w:p>
    <w:p>
      <w:pPr>
        <w:widowControl w:val="on"/>
        <w:pBdr/>
        <w:spacing w:before="140" w:after="240" w:line="288" w:lineRule="auto"/>
        <w:ind w:left="0" w:right="0"/>
        <w:jc w:val="left"/>
      </w:pPr>
      <w:r>
        <w:rPr>
          <w:rFonts w:ascii="Arial" w:hAnsi="Arial" w:eastAsia="Arial" w:cs="Arial"/>
          <w:color w:val="000000"/>
          <w:sz w:val="20"/>
          <w:szCs w:val="20"/>
        </w:rPr>
        <w:t xml:space="preserve">Der Verwaltungsgerichtshof hat zudem klar ausgesprochen, dass
die Vertrauensschutzregelung des Art 7 Abs 4 UStG in
Fällen des innergemeinschaftlichen Verbringens iSd Art 3
Abs 1 Z 1 UStG nicht greift, weil es in diesem Fall an
einem Abnehmer mangelt, welcher unrichtige Angaben geliefert hätte
(VwGH Ra 2016/16/0059).</w:t>
      </w:r>
    </w:p>
    <w:p>
      <w:pPr>
        <w:widowControl w:val="on"/>
        <w:pBdr/>
        <w:spacing w:before="140" w:after="240" w:line="288" w:lineRule="auto"/>
        <w:ind w:left="0" w:right="0"/>
        <w:jc w:val="left"/>
      </w:pPr>
      <w:r>
        <w:rPr>
          <w:rFonts w:ascii="Arial" w:hAnsi="Arial" w:eastAsia="Arial" w:cs="Arial"/>
          <w:color w:val="000000"/>
          <w:sz w:val="20"/>
          <w:szCs w:val="20"/>
        </w:rPr>
        <w:t xml:space="preserve">Allein aufgrund der Tatsache, dass der Betroffene die formellen
Nachweise nicht vollständig erbracht hatte, da dieser im Abholfall
auf die schriftliche Erklärung des Abnehmers der Waren verzichtete,
hat er nicht mit der Sorgfalt eines ordentlichen Kaufmanns
gehandelt. Damit kann er sich nicht auf die
Vertrauensschutzregelung des Art 7 Abs 4 UStG berufen,
weil sie im Sinne dieser Bestimmung die von ihr in Anspruch
genommene Steuerbefreiung nicht auf vom Abnehmer gegebene
unrichtige Angaben stützen konnte (BFG 16.08.2019,
RV/7106037/2018).</w:t>
      </w:r>
    </w:p>
    <w:p>
      <w:pPr>
        <w:widowControl w:val="on"/>
        <w:pBdr/>
        <w:spacing w:before="140" w:after="240" w:line="288" w:lineRule="auto"/>
        <w:ind w:left="0" w:right="0"/>
        <w:jc w:val="left"/>
      </w:pPr>
      <w:r>
        <w:rPr>
          <w:rFonts w:ascii="Arial" w:hAnsi="Arial" w:eastAsia="Arial" w:cs="Arial"/>
          <w:color w:val="000000"/>
          <w:sz w:val="20"/>
          <w:szCs w:val="20"/>
        </w:rPr>
        <w:t xml:space="preserve">Tätigt ein Unternehmer vermeintliche (der Abnehmer ist eine
Briefkastenfirma) innergemeinschaftliche Lieferungen und verlässt
er sich dabei ausschließlich auf Fremdangaben Dritter, kann er sich
nicht auf die Vertrauensschutzregelung des Art 7 Abs 4
UStG berufen (BFG 08.11.2016, RV/2101017/2015).</w:t>
      </w:r>
    </w:p>
    <w:p>
      <w:r>
        <w:pict>
          <v:rect id="_x0000_i1026" style="width:0;height:1.5pt" o:hralign="center" o:hrstd="t" o:hr="t" o:hrnoshade="t" fillcolor="#a0a0a0" stroked="f"/>
        </w:pic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Zum Zeitpunkt der Lieferung war die UID-Nummer des Abnehmers
gültig und wurde auch vor Durchführung der Lieferung vom
Beschwerdeführer im Stufe-2-Verfahren überprüft. Auch wenn die
UID-Nummer rückwirkend vom Vergabeland gelöscht wurde, ändert dies
nichts daran, dass der Lieferant zum Zeitpunkt der Lieferung alles
Mögliche unternommen hat, um sich von der Redlichkeit des Abnehmers
zu </w:t>
      </w:r>
      <w:r>
        <w:rPr>
          <w:rFonts w:ascii="Arial" w:hAnsi="Arial" w:eastAsia="Arial" w:cs="Arial"/>
          <w:color w:val="277DB9"/>
          <w:sz w:val="20"/>
          <w:szCs w:val="20"/>
        </w:rPr>
        <w:t xml:space="preserve">vergewissern.</w:t>
      </w:r>
      <w:bookmarkStart w:id="44561745" w:name="link2"/>
      <w:bookmarkEnd w:id="44561745"/>
      <w:hyperlink w:anchor="note2" w:history="1">
        <w:r>
          <w:rPr>
            <w:rFonts w:ascii="Arial" w:hAnsi="Arial" w:eastAsia="Arial" w:cs="Arial"/>
            <w:b/>
            <w:bCs/>
            <w:color w:val="006BB6"/>
            <w:position w:val="4"/>
            <w:sz w:val="22"/>
            <w:szCs w:val="22"/>
            <w:vertAlign w:val="superscript"/>
          </w:rPr>
          <w:t xml:space="preserve">2</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Zum Zeitpunkt der Lieferung war die UID-Nummer des Abnehmers
gültig und wurde auch vor Durchführung der Lieferung vom
Beschwerdeführer im Stufe-1-Verfahren auf der Website der
EU-Kommission überprüft. Auf dieser Website wird nicht nur
angezeigt, ob die UID-Nummer gültig ist, sondern mit Ausnahme von
Deutschland werden auch die sonst im österreichischen Stufe 2
veröffentlichten Unternehmensangaben bekannt gegeben. Es ist
deshalb unerheblich, für welches Verfahren sich der
Beschwerdeführer entschieden hat, da beide Verfahren auf dieselbe
Datenbank zurückgreifen und dieselben Daten veröffentlichen.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Es ist unstrittig, dass der Abnehmer zum Zeitpunkt der Lieferung
eine gültige UID-Nummer besaß und dies den Abgabebehörden bekannt
ist (BFG 16.4.2014, RV/710624/2010).</w:t>
      </w:r>
    </w:p>
    <w:p>
      <w:pPr>
        <w:widowControl w:val="on"/>
        <w:pBdr/>
        <w:spacing w:before="140" w:after="240" w:line="288" w:lineRule="auto"/>
        <w:ind w:left="0" w:right="0"/>
        <w:jc w:val="left"/>
      </w:pPr>
      <w:r>
        <w:rPr>
          <w:rFonts w:ascii="Arial" w:hAnsi="Arial" w:eastAsia="Arial" w:cs="Arial"/>
          <w:color w:val="000000"/>
          <w:sz w:val="20"/>
          <w:szCs w:val="20"/>
        </w:rPr>
        <w:t xml:space="preserve">Auch wenn die UID-Nummer rückwirkend vom Vergabeland gelöscht
wurde, ändert dies nichts daran, dass der Lieferant zum Zeitpunkt
der Lieferung alles Mögliche unternommen hat, um sich von der
Redlichkeit des Abnehmers zu vergewissern.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der Lieferant Auszüge aus dem Firmenbuch des
Ansässigkeitsstaates des Kunden angefordert. Aus diesen ergaben
sich keine Auffälligkeiten, sodass der Lieferant sowohl auf die
tatsächliche Existenz des Abnehmers als auch die Beförderung der
Gegenstände in ein anderes EU-Land vertrauen </w:t>
      </w:r>
      <w:r>
        <w:rPr>
          <w:rFonts w:ascii="Arial" w:hAnsi="Arial" w:eastAsia="Arial" w:cs="Arial"/>
          <w:color w:val="000000"/>
          <w:sz w:val="20"/>
          <w:szCs w:val="20"/>
        </w:rPr>
        <w:t xml:space="preserve">konnte.</w:t>
      </w:r>
      <w:bookmarkStart w:id="40604372" w:name="link3"/>
      <w:bookmarkEnd w:id="40604372"/>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Aufgrund der Umstände der Geschäftsanbahnung und der Bezahlung
der Lieferung konnte der Beschwerdeführer keinen Verdacht
</w:t>
      </w:r>
      <w:r>
        <w:rPr>
          <w:rFonts w:ascii="Arial" w:hAnsi="Arial" w:eastAsia="Arial" w:cs="Arial"/>
          <w:color w:val="000000"/>
          <w:sz w:val="20"/>
          <w:szCs w:val="20"/>
        </w:rPr>
        <w:t xml:space="preserve">schöpfen,</w:t>
      </w:r>
      <w:bookmarkStart w:id="57518749" w:name="link4"/>
      <w:bookmarkEnd w:id="57518749"/>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dass der Kunde die
Ware nicht in das EU-Ausland verschaffen würde oder Teil eines
Umsatzsteuerkarussells </w:t>
      </w:r>
      <w:r>
        <w:rPr>
          <w:rFonts w:ascii="Arial" w:hAnsi="Arial" w:eastAsia="Arial" w:cs="Arial"/>
          <w:color w:val="000000"/>
          <w:sz w:val="20"/>
          <w:szCs w:val="20"/>
        </w:rPr>
        <w:t xml:space="preserve">war.</w:t>
      </w:r>
      <w:bookmarkStart w:id="79253313" w:name="link5"/>
      <w:bookmarkEnd w:id="79253313"/>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 Seitens der Betriebsprüfung wurden auch
keine Anhaltspunkte aufgegriffen, anhand derer der Beschwerdeführer
von einem Umsatzsteuerkarussell </w:t>
      </w:r>
      <w:r>
        <w:rPr>
          <w:rFonts w:ascii="Arial" w:hAnsi="Arial" w:eastAsia="Arial" w:cs="Arial"/>
          <w:color w:val="000000"/>
          <w:sz w:val="20"/>
          <w:szCs w:val="20"/>
        </w:rPr>
        <w:t xml:space="preserve">„wissen-hätte-müssen“.</w:t>
      </w:r>
      <w:bookmarkStart w:id="65532997" w:name="link6"/>
      <w:bookmarkEnd w:id="65532997"/>
      <w:hyperlink w:anchor="note6" w:history="1">
        <w:r>
          <w:rPr>
            <w:rFonts w:ascii="Arial" w:hAnsi="Arial" w:eastAsia="Arial" w:cs="Arial"/>
            <w:b/>
            <w:bCs/>
            <w:color w:val="006BB6"/>
            <w:position w:val="4"/>
            <w:sz w:val="22"/>
            <w:szCs w:val="22"/>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Daran vermag auch der von der Bf aufgeworfene Umstand, dass die
Verkäufer die Angaben aufgrund der langjährigen Geschäftsbeziehung
„einfach geglaubt“ (und nicht überprüft) hätten, nichts zu ändern:
Entsprechen die Angaben in fast allen Fällen den Tatsachen, ist es
nicht unplausibel darauf zu vertrauen, dass die gemachten Angaben
bei identer Geschäftsabwicklung tatsächlich in allen Fällen (also
auch in den hier strittigen Fällen) den Tatsachen </w:t>
      </w:r>
      <w:r>
        <w:rPr>
          <w:rFonts w:ascii="Arial" w:hAnsi="Arial" w:eastAsia="Arial" w:cs="Arial"/>
          <w:color w:val="000000"/>
          <w:sz w:val="20"/>
          <w:szCs w:val="20"/>
        </w:rPr>
        <w:t xml:space="preserve">entsprechen.</w:t>
      </w:r>
      <w:bookmarkStart w:id="55765564" w:name="link7"/>
      <w:bookmarkEnd w:id="55765564"/>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 von der Finanzverwaltung verlangten
Beförderungsnachweise/Verbringenserklärungen sowie
Identitätsnachweise wurden seitens der Beschwerdeführerin
aufgezeichnet. Es liegt aber gerade bei den Verbringenserklärungen
sowie Frachtpapieren in der Natur der Sache, dass diese oftmals im
Freien ohne entsprechende Schreibunterlage unterfertigt werden,
sodass ein Abweichen von Unterschriften auf Frachtpapieren und
Identitätsnachweisen möglich </w:t>
      </w:r>
      <w:r>
        <w:rPr>
          <w:rFonts w:ascii="Arial" w:hAnsi="Arial" w:eastAsia="Arial" w:cs="Arial"/>
          <w:color w:val="277DB9"/>
          <w:sz w:val="20"/>
          <w:szCs w:val="20"/>
        </w:rPr>
        <w:t xml:space="preserve">ist.</w:t>
      </w:r>
      <w:bookmarkStart w:id="17872822" w:name="link8"/>
      <w:bookmarkEnd w:id="17872822"/>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Eine Versagung des Vertrauensschutzes schon wegen Nichterfüllung
der in Art 7 Abs 4 letzter Satz UStG normierten
besonderen Verpflichtung, die Identität des Abholenden
festzuhalten, kommt nicht in Betracht, wenn die Erfüllung dieser
Verpflichtung zur Durchsetzung des Abgabenanspruches gegen die
Abnehmerin nichts beitragen </w:t>
      </w:r>
      <w:r>
        <w:rPr>
          <w:rFonts w:ascii="Arial" w:hAnsi="Arial" w:eastAsia="Arial" w:cs="Arial"/>
          <w:color w:val="277DB9"/>
          <w:sz w:val="20"/>
          <w:szCs w:val="20"/>
        </w:rPr>
        <w:t xml:space="preserve">konnte.</w:t>
      </w:r>
      <w:bookmarkStart w:id="20501579" w:name="link9"/>
      <w:bookmarkEnd w:id="20501579"/>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60965" w:name="note1"/>
            <w:bookmarkEnd w:id="1260965"/>
            <w:bookmarkStart w:id="4239673330702" w:name="note1"/>
            <w:r>
              <w:rPr>
                <w:rFonts w:ascii="Arial" w:hAnsi="Arial" w:eastAsia="Arial" w:cs="Arial"/>
                <w:b/>
                <w:bCs/>
                <w:color w:val="000000"/>
                <w:position w:val="0"/>
                <w:sz w:val="20"/>
                <w:szCs w:val="20"/>
              </w:rPr>
              <w:t xml:space="preserve">[1]</w:t>
            </w:r>
            <w:bookmarkEnd w:id="42396733307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Sollte sich der Steuerpflichtige während der Betriebsprüfung
noch nicht auf die Vertrauensschutzregel berufen haben, ist dies
spätestens im BFG-Verfahren nachzuholen. Im VwGH-Verfahren kommt
ansonsten das Neuerungsverbot zum Tragen. Die Vertrauensschutzregel
soll nicht auf Fälle des ig Verbringens anwendbar sein sowie für
indirekt vertretende Spediteure, die eine EUSt-Befreiung aufgrund
einer der sich der Einfuhr anschließenden ig Lieferung geltend
gemacht haben (zB VwGH 25.4.2017, 2016/16/0059 sowie VwGH
21.11.2017, 2017/16/0037).</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985202" w:name="note2"/>
            <w:bookmarkEnd w:id="33985202"/>
            <w:bookmarkStart w:id="4747324406941" w:name="note2"/>
            <w:r>
              <w:rPr>
                <w:rFonts w:ascii="Arial" w:hAnsi="Arial" w:eastAsia="Arial" w:cs="Arial"/>
                <w:b/>
                <w:bCs/>
                <w:color w:val="000000"/>
                <w:position w:val="0"/>
                <w:sz w:val="20"/>
                <w:szCs w:val="20"/>
              </w:rPr>
              <w:t xml:space="preserve">[2]</w:t>
            </w:r>
            <w:bookmarkEnd w:id="47473244069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Oft wird der Vertrauensschutz von der Finanzverwaltung mit dem
Hinweis abgelehnt, dass die UID-Nummer zum Zeitpunkt der Lieferung
nicht gültig war.</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556959" w:name="note3"/>
            <w:bookmarkEnd w:id="85556959"/>
            <w:bookmarkStart w:id="289090197666" w:name="note3"/>
            <w:r>
              <w:rPr>
                <w:rFonts w:ascii="Arial" w:hAnsi="Arial" w:eastAsia="Arial" w:cs="Arial"/>
                <w:b/>
                <w:bCs/>
                <w:color w:val="000000"/>
                <w:position w:val="0"/>
                <w:sz w:val="20"/>
                <w:szCs w:val="20"/>
              </w:rPr>
              <w:t xml:space="preserve">[3]</w:t>
            </w:r>
            <w:bookmarkEnd w:id="2890901976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Abnehmer überhaupt nicht existiert. Das Vertrauen auf
alternative behördlich ausgestellte Dokumente muss explizit in der
Beschwerde angeführt werden. Neben Firmenbuchauszügen kann dies
auch eine EORI-Nummer oder eine gültige Verbrauchsteuernummer
sein.</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347132" w:name="note4"/>
            <w:bookmarkEnd w:id="65347132"/>
            <w:bookmarkStart w:id="8355145406345" w:name="note4"/>
            <w:r>
              <w:rPr>
                <w:rFonts w:ascii="Arial" w:hAnsi="Arial" w:eastAsia="Arial" w:cs="Arial"/>
                <w:b/>
                <w:bCs/>
                <w:color w:val="000000"/>
                <w:position w:val="0"/>
                <w:sz w:val="20"/>
                <w:szCs w:val="20"/>
              </w:rPr>
              <w:t xml:space="preserve">[4]</w:t>
            </w:r>
            <w:bookmarkEnd w:id="83551454063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Verdachtsmomente können sein: unüblicher Preis oder unübliche
Menge; Geschäftsanbahnung erfolgt durch Dritten, der zugleich
Lieferant ist; Abweichen auf Lieferort lt Lieferschein und
Transportpapieren (in eventu auch Zollanmeldung bei sich Einfuhr
anschließender ig Lieferung); fehlender Außenauftritt des Kunden
mangels Telefonnummer, Website, E-Mail-Adresse, Barzahlung;
Geschäftsanschrift passt nicht zur Tätigkeit (zB
Industrieunternehmen in Altstadt, BFG 08.11.2016,
RV/2101017/2015).</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833508" w:name="note5"/>
            <w:bookmarkEnd w:id="21833508"/>
            <w:bookmarkStart w:id="13327620982" w:name="note5"/>
            <w:r>
              <w:rPr>
                <w:rFonts w:ascii="Arial" w:hAnsi="Arial" w:eastAsia="Arial" w:cs="Arial"/>
                <w:b/>
                <w:bCs/>
                <w:color w:val="000000"/>
                <w:position w:val="0"/>
                <w:sz w:val="20"/>
                <w:szCs w:val="20"/>
              </w:rPr>
              <w:t xml:space="preserve">[5]</w:t>
            </w:r>
            <w:bookmarkEnd w:id="133276209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Vorsicht ist bei Bezahlung an Konten in Steuerparadiesen gegeben
oder nicht auf den Namen des Kunden lautenden Konten gegeben. Bei
IBAN-Überweisungen muss aber der Name des Konteninhabers nicht
vorliegen.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924435" w:name="note6"/>
            <w:bookmarkEnd w:id="76924435"/>
            <w:bookmarkStart w:id="3626065258870" w:name="note6"/>
            <w:r>
              <w:rPr>
                <w:rFonts w:ascii="Arial" w:hAnsi="Arial" w:eastAsia="Arial" w:cs="Arial"/>
                <w:b/>
                <w:bCs/>
                <w:color w:val="000000"/>
                <w:position w:val="0"/>
                <w:sz w:val="20"/>
                <w:szCs w:val="20"/>
              </w:rPr>
              <w:t xml:space="preserve">[6]</w:t>
            </w:r>
            <w:bookmarkEnd w:id="36260652588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Achtung: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Bei „Wissen-hätte-Müssen“ sind die Voraussetzungen für den
Vertrauensschutz gem Art 7 Abs 4 UStG nicht mehr
gegeben.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865728" w:name="note7"/>
            <w:bookmarkEnd w:id="69865728"/>
            <w:bookmarkStart w:id="4689892643378" w:name="note7"/>
            <w:r>
              <w:rPr>
                <w:rFonts w:ascii="Arial" w:hAnsi="Arial" w:eastAsia="Arial" w:cs="Arial"/>
                <w:b/>
                <w:bCs/>
                <w:color w:val="000000"/>
                <w:position w:val="0"/>
                <w:sz w:val="20"/>
                <w:szCs w:val="20"/>
              </w:rPr>
              <w:t xml:space="preserve">[7]</w:t>
            </w:r>
            <w:bookmarkEnd w:id="46898926433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BFG 08.11.2017, RV/2100523/2017.</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583453" w:name="note8"/>
            <w:bookmarkEnd w:id="71583453"/>
            <w:bookmarkStart w:id="2536687610265" w:name="note8"/>
            <w:r>
              <w:rPr>
                <w:rFonts w:ascii="Arial" w:hAnsi="Arial" w:eastAsia="Arial" w:cs="Arial"/>
                <w:b/>
                <w:bCs/>
                <w:color w:val="000000"/>
                <w:position w:val="0"/>
                <w:sz w:val="20"/>
                <w:szCs w:val="20"/>
              </w:rPr>
              <w:t xml:space="preserve">[8]</w:t>
            </w:r>
            <w:bookmarkEnd w:id="25366876102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diesem Zusammenhang werde auf die Judikatur verwiesen, wonach
der Unternehmer dann nicht mit der Sorgfalt eines ordentlichen
Kaufmannes handle, wenn er in Abholfällen die Identität des
Abholenden nicht festhalte. Er genieße daher keinen
Vertrauensschutz iSd Art 7 Abs 4 UStG 1994 (vgl UFSW
15.3.2013, RV/0284-W/08, RV/0284-W/08-RS2). Eine Versagung des
Vertrauensschutzes schon wegen Nichterfüllung der in Art 7
Abs 4 letzter Satz UStG normierten besonderen Verpflichtung,
die Identität des Abholenden festzuhalten, kommt nicht in Betracht,
wenn die Erfüllung dieser Verpflichtung zur Durchsetzung des
Abgabenanspruches gegen den Abnehmer nichts beitragen konnte (BFG
01.08.2016, RV/7102303/2016).</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030895" w:name="note9"/>
            <w:bookmarkEnd w:id="32030895"/>
            <w:bookmarkStart w:id="728916917923" w:name="note9"/>
            <w:r>
              <w:rPr>
                <w:rFonts w:ascii="Arial" w:hAnsi="Arial" w:eastAsia="Arial" w:cs="Arial"/>
                <w:b/>
                <w:bCs/>
                <w:color w:val="000000"/>
                <w:position w:val="0"/>
                <w:sz w:val="20"/>
                <w:szCs w:val="20"/>
              </w:rPr>
              <w:t xml:space="preserve">[9]</w:t>
            </w:r>
            <w:bookmarkEnd w:id="72891691792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BFG 1.8.2016, RV/7102303/2016-RS1 sowie VwGH 27.4.2016,
2013/13/0051.</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8718">
    <w:multiLevelType w:val="hybridMultilevel"/>
    <w:lvl w:ilvl="0" w:tplc="89085556">
      <w:start w:val="1"/>
      <w:numFmt w:val="decimal"/>
      <w:lvlText w:val="%1."/>
      <w:lvlJc w:val="left"/>
      <w:pPr>
        <w:ind w:left="720" w:hanging="360"/>
      </w:pPr>
    </w:lvl>
    <w:lvl w:ilvl="1" w:tplc="89085556" w:tentative="1">
      <w:start w:val="1"/>
      <w:numFmt w:val="lowerLetter"/>
      <w:lvlText w:val="%2."/>
      <w:lvlJc w:val="left"/>
      <w:pPr>
        <w:ind w:left="1440" w:hanging="360"/>
      </w:pPr>
    </w:lvl>
    <w:lvl w:ilvl="2" w:tplc="89085556" w:tentative="1">
      <w:start w:val="1"/>
      <w:numFmt w:val="lowerRoman"/>
      <w:lvlText w:val="%3."/>
      <w:lvlJc w:val="right"/>
      <w:pPr>
        <w:ind w:left="2160" w:hanging="180"/>
      </w:pPr>
    </w:lvl>
    <w:lvl w:ilvl="3" w:tplc="89085556" w:tentative="1">
      <w:start w:val="1"/>
      <w:numFmt w:val="decimal"/>
      <w:lvlText w:val="%4."/>
      <w:lvlJc w:val="left"/>
      <w:pPr>
        <w:ind w:left="2880" w:hanging="360"/>
      </w:pPr>
    </w:lvl>
    <w:lvl w:ilvl="4" w:tplc="89085556" w:tentative="1">
      <w:start w:val="1"/>
      <w:numFmt w:val="lowerLetter"/>
      <w:lvlText w:val="%5."/>
      <w:lvlJc w:val="left"/>
      <w:pPr>
        <w:ind w:left="3600" w:hanging="360"/>
      </w:pPr>
    </w:lvl>
    <w:lvl w:ilvl="5" w:tplc="89085556" w:tentative="1">
      <w:start w:val="1"/>
      <w:numFmt w:val="lowerRoman"/>
      <w:lvlText w:val="%6."/>
      <w:lvlJc w:val="right"/>
      <w:pPr>
        <w:ind w:left="4320" w:hanging="180"/>
      </w:pPr>
    </w:lvl>
    <w:lvl w:ilvl="6" w:tplc="89085556" w:tentative="1">
      <w:start w:val="1"/>
      <w:numFmt w:val="decimal"/>
      <w:lvlText w:val="%7."/>
      <w:lvlJc w:val="left"/>
      <w:pPr>
        <w:ind w:left="5040" w:hanging="360"/>
      </w:pPr>
    </w:lvl>
    <w:lvl w:ilvl="7" w:tplc="89085556" w:tentative="1">
      <w:start w:val="1"/>
      <w:numFmt w:val="lowerLetter"/>
      <w:lvlText w:val="%8."/>
      <w:lvlJc w:val="left"/>
      <w:pPr>
        <w:ind w:left="5760" w:hanging="360"/>
      </w:pPr>
    </w:lvl>
    <w:lvl w:ilvl="8" w:tplc="89085556" w:tentative="1">
      <w:start w:val="1"/>
      <w:numFmt w:val="lowerRoman"/>
      <w:lvlText w:val="%9."/>
      <w:lvlJc w:val="right"/>
      <w:pPr>
        <w:ind w:left="6480" w:hanging="180"/>
      </w:pPr>
    </w:lvl>
  </w:abstractNum>
  <w:abstractNum w:abstractNumId="85208717">
    <w:multiLevelType w:val="hybridMultilevel"/>
    <w:lvl w:ilvl="0" w:tplc="81423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8717">
    <w:abstractNumId w:val="85208717"/>
  </w:num>
  <w:num w:numId="85208718">
    <w:abstractNumId w:val="85208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36903713" Type="http://schemas.openxmlformats.org/officeDocument/2006/relationships/numbering" Target="numbering.xml"/><Relationship Id="rId9004724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