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5740388" w:name="document"/>
    <w:bookmarkEnd w:id="15740388"/>
    <w:p/>
    <w:p>
      <w:pPr>
        <w:widowControl w:val="on"/>
        <w:pBdr/>
        <w:spacing w:before="0" w:after="280" w:line="240" w:lineRule="auto"/>
        <w:ind w:left="0" w:right="0"/>
        <w:jc w:val="left"/>
      </w:pPr>
      <w:r>
        <w:rPr>
          <w:rFonts w:ascii="Arial" w:hAnsi="Arial" w:eastAsia="Arial" w:cs="Arial"/>
          <w:color w:val="363A40"/>
          <w:sz w:val="24"/>
          <w:szCs w:val="24"/>
        </w:rPr>
        <w:t xml:space="preserve">Dokument-ID: 866190 | Martin Klemm - Stanislava
Doganova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Deckungsanforderung Rechtsschutzversicherung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Insbesondere Privatpersonen, mittlerweile jedoch auch sehr viele
Unternehmen, sichern sich hinsichtlich notwendiger Aktiv- bzw
allfälliger Passivprozesse mit entsprechenden
Rechtsschutzversicherungen ab. Diese reduzieren das Kostenrisiko –
abgesehen von einem allfälligen Selbstbehalt – auf die
verfahrensgegenständlichen Beträge und machen daher die Risiken
einer Prozessführung überschaubar. Bei Beauftragung eines
Rechtsanwaltes erfolgt in der Regel auch die Deckungsanforderung
direkt durch diesen. Mit dem vorliegenden Muster wird eine
klassische Deckungsanforderung bei einer Rechtsschutzversicherung
dargestellt und auch der hierfür erforderliche Inhalt
beschrieben.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Martin Klemm,
LL.M.</w:t>
      </w:r>
      <w:r>
        <w:rPr>
          <w:rFonts w:ascii="Arial" w:hAnsi="Arial" w:eastAsia="Arial" w:cs="Arial"/>
          <w:color w:val="000000"/>
          <w:sz w:val="20"/>
          <w:szCs w:val="20"/>
        </w:rPr>
        <w:br/>
        <w:t xml:space="preserve">Wiedner Hauptstraße 120/5.1</w:t>
      </w:r>
      <w:r>
        <w:rPr>
          <w:rFonts w:ascii="Arial" w:hAnsi="Arial" w:eastAsia="Arial" w:cs="Arial"/>
          <w:color w:val="000000"/>
          <w:sz w:val="20"/>
          <w:szCs w:val="20"/>
        </w:rPr>
        <w:br/>
        <w:t xml:space="preserve">1050 Wien</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Links-Rechts Versicherung AG</w:t>
      </w:r>
      <w:r>
        <w:rPr>
          <w:rFonts w:ascii="Arial" w:hAnsi="Arial" w:eastAsia="Arial" w:cs="Arial"/>
          <w:color w:val="000000"/>
          <w:sz w:val="20"/>
          <w:szCs w:val="20"/>
        </w:rPr>
        <w:br/>
        <w:t xml:space="preserve">Großer Boulevard 34</w:t>
      </w:r>
      <w:r>
        <w:rPr>
          <w:rFonts w:ascii="Arial" w:hAnsi="Arial" w:eastAsia="Arial" w:cs="Arial"/>
          <w:color w:val="000000"/>
          <w:sz w:val="20"/>
          <w:szCs w:val="20"/>
        </w:rPr>
        <w:br/>
        <w:t xml:space="preserve">1190 Wien</w:t>
      </w:r>
    </w:p>
    <w:p>
      <w:pPr>
        <w:widowControl w:val="on"/>
        <w:pBdr/>
        <w:spacing w:before="140" w:after="240" w:line="288" w:lineRule="auto"/>
        <w:ind w:left="0" w:right="0"/>
        <w:jc w:val="left"/>
      </w:pPr>
      <w:r>
        <w:rPr>
          <w:rFonts w:ascii="Arial" w:hAnsi="Arial" w:eastAsia="Arial" w:cs="Arial"/>
          <w:color w:val="000000"/>
          <w:sz w:val="20"/>
          <w:szCs w:val="20"/>
        </w:rPr>
        <w:t xml:space="preserve">Per E-Mail: …</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Betrifft: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Ihre Versicherungsnehmerin: Sabine
Gutberaten</w:t>
            </w:r>
            <w:r>
              <w:rPr>
                <w:rFonts w:ascii="Arial" w:hAnsi="Arial" w:eastAsia="Arial" w:cs="Arial"/>
                <w:b/>
                <w:bCs/>
                <w:color w:val="000000"/>
                <w:position w:val="0"/>
                <w:sz w:val="20"/>
                <w:szCs w:val="20"/>
                <w:shd w:val="clear" w:color="auto" w:fill="FFFFFF"/>
              </w:rPr>
              <w:br/>
              <w:t xml:space="preserve">Polizzennummer: RS43230583-4</w:t>
            </w:r>
          </w:p>
        </w:tc>
      </w:tr>
    </w:tbl>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Eingangs dürfen wir Ihnen mitteilen, dass uns Ihre
Versicherungsnehmerin, Frau Sabine Gutberaten, mit ihrer
rechtlichen Vertretung bevollmächtigt und beauftragt hat.</w:t>
      </w:r>
    </w:p>
    <w:p>
      <w:pPr>
        <w:widowControl w:val="on"/>
        <w:pBdr/>
        <w:spacing w:before="140" w:after="240" w:line="288" w:lineRule="auto"/>
        <w:ind w:left="0" w:right="0"/>
        <w:jc w:val="left"/>
      </w:pPr>
      <w:r>
        <w:rPr>
          <w:rFonts w:ascii="Arial" w:hAnsi="Arial" w:eastAsia="Arial" w:cs="Arial"/>
          <w:color w:val="000000"/>
          <w:sz w:val="20"/>
          <w:szCs w:val="20"/>
        </w:rPr>
        <w:t xml:space="preserve">Ihre Versicherungsnehmerin wurde am 23.10.2024 bei einem
Verkehrsunfall in 1160 Wien, Hernalser Hauptstraße 137/Kreuzung
Lindenweg, schwer verletzt, als sie beim Überqueren des sich an der
Kreuzung befindlichen Schutzweges vom Pkw Audi A6 mit dem
behördlichen Kennzeichen W-43029 L, gelenkt von Mag. Anton Achtlos,
niedergestoßen wurde.</w:t>
      </w:r>
    </w:p>
    <w:p>
      <w:pPr>
        <w:widowControl w:val="on"/>
        <w:pBdr/>
        <w:spacing w:before="140" w:after="240" w:line="288" w:lineRule="auto"/>
        <w:ind w:left="0" w:right="0"/>
        <w:jc w:val="left"/>
      </w:pPr>
      <w:r>
        <w:rPr>
          <w:rFonts w:ascii="Arial" w:hAnsi="Arial" w:eastAsia="Arial" w:cs="Arial"/>
          <w:color w:val="000000"/>
          <w:sz w:val="20"/>
          <w:szCs w:val="20"/>
        </w:rPr>
        <w:t xml:space="preserve">An dem gegenständlichen Unfall trägt Herr Achtlos das
Alleinverschulden, da er Ihre Versicherungsnehmerin, die gut
sichtbar und ordnungsgemäß den dortigen Schutzweg benutzte,
offenkundig übersah und dazu trotz der dortigen
Geschwindigkeitsbegrenzung von 30 km/h mit überhöhter
Geschwindigkeit fuhr. Durch den Unfall erlitt Ihre
Versicherungsnehmerin einen Bruch des linken Unterschenkels, eine
leichte Gehirnerschütterung sowie zahlreiche Abschürfungen. Gegen
den Lenker wurde auch ein Strafverfahren eingeleitet, welches
derzeit bei der Staatsanwaltschaft Wien unter der GZ 126 BAZ 53/15
geführt wird.</w:t>
      </w:r>
    </w:p>
    <w:p>
      <w:pPr>
        <w:widowControl w:val="on"/>
        <w:pBdr/>
        <w:spacing w:before="140" w:after="240" w:line="288" w:lineRule="auto"/>
        <w:ind w:left="0" w:right="0"/>
        <w:jc w:val="left"/>
      </w:pPr>
      <w:r>
        <w:rPr>
          <w:rFonts w:ascii="Arial" w:hAnsi="Arial" w:eastAsia="Arial" w:cs="Arial"/>
          <w:color w:val="000000"/>
          <w:sz w:val="20"/>
          <w:szCs w:val="20"/>
        </w:rPr>
        <w:t xml:space="preserve">Frau Gutberaten hat uns nunmehr mit der Durchsetzung ihrer
rechtlichen Ansprüche, insbesondere im Rahmen ihrer Vertretung als
Privatbeteiligte im genannten Strafverfahren sowie gegenüber Herrn
Achtlos, dessen Ehegattin als Zulassungsbesitzerin und der Mobil
Versicherung AG, bei welcher das gegenständliche Fahrzeug
haftpflichtversichert ist, beauftragt.</w:t>
      </w:r>
    </w:p>
    <w:p>
      <w:pPr>
        <w:widowControl w:val="on"/>
        <w:pBdr/>
        <w:spacing w:before="140" w:after="240" w:line="288" w:lineRule="auto"/>
        <w:ind w:left="0" w:right="0"/>
        <w:jc w:val="left"/>
      </w:pPr>
      <w:r>
        <w:rPr>
          <w:rFonts w:ascii="Arial" w:hAnsi="Arial" w:eastAsia="Arial" w:cs="Arial"/>
          <w:color w:val="000000"/>
          <w:sz w:val="20"/>
          <w:szCs w:val="20"/>
        </w:rPr>
        <w:t xml:space="preserve">Neben einem angemessenen Schmerzengeld, welches wir derzeit mit
EUR 15.000,– beziffern, stehen Ihrer Versicherungsnehmerin
EUR 200,– aus beschädigter Kleidung, EUR 380,– an nicht
durch die Krankenversicherung abgedeckten Heilungskosten und
EUR 150,– an pauschalen Unkosten zu, welche wir gegenüber der
Gegenseite geltend machen werden.</w:t>
      </w:r>
    </w:p>
    <w:p>
      <w:pPr>
        <w:widowControl w:val="on"/>
        <w:pBdr/>
        <w:spacing w:before="140" w:after="240" w:line="288" w:lineRule="auto"/>
        <w:ind w:left="0" w:right="0"/>
        <w:jc w:val="left"/>
      </w:pPr>
      <w:r>
        <w:rPr>
          <w:rFonts w:ascii="Arial" w:hAnsi="Arial" w:eastAsia="Arial" w:cs="Arial"/>
          <w:color w:val="000000"/>
          <w:sz w:val="20"/>
          <w:szCs w:val="20"/>
        </w:rPr>
        <w:t xml:space="preserve">Wir ersuchen daher um Deckungszusage für unser
außergerichtliches Einschreiten, unsere Vertretung im Rahmen der
Privatbeteiligung im Strafverfahren sowie hinsichtlich einer
allfälligen Prozessführung gegen Lenker, Halter und
Haftpflichtversicherung.</w:t>
      </w:r>
    </w:p>
    <w:p>
      <w:pPr>
        <w:widowControl w:val="on"/>
        <w:pBdr/>
        <w:spacing w:before="140" w:after="240" w:line="288" w:lineRule="auto"/>
        <w:ind w:left="0" w:right="0"/>
        <w:jc w:val="left"/>
      </w:pPr>
      <w:r>
        <w:rPr>
          <w:rFonts w:ascii="Arial" w:hAnsi="Arial" w:eastAsia="Arial" w:cs="Arial"/>
          <w:color w:val="000000"/>
          <w:sz w:val="20"/>
          <w:szCs w:val="20"/>
        </w:rPr>
        <w:t xml:space="preserve">Zu Ihrer Kenntnisnahme übermitteln wir unseren Handakt und
stehen für allfällige Rückfragen gerne zur Verfügung.</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Martin Klemm, LL.M.</w:t>
      </w:r>
    </w:p>
    <w:p>
      <w:r>
        <w:pict>
          <v:rect id="_x0000_i1026" style="width:0;height:1.5pt" o:hralign="center" o:hrstd="t" o:hr="t" o:hrnoshade="t" fillcolor="#a0a0a0" stroked="f"/>
        </w:pic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Neben dem Vorteil der Risikoübernahme der Versicherung hinsichtlich
der eigenen und der Prozesskosten der Gegenseite im
Unterliegensfall, streckt eine Rechtsschutzversicherung auch die
entsprechenden Barauslagen, die selbst im Obsiegensfall von der
Partei in der Regel vorzufinanzieren sind (zB Pauschalgebühr,
Gutachterkosten etc), vor. Es empfiehlt sich daher jedenfalls, zu
Beginn einer streitigen Mandatsübernahme beim Klienten
nachzufragen, ob dieser über eine Rechtsschutzversicherung verfügt.
Ist dies der Fall, sollte so schnell wie möglich die Deckung
eingeholt werden, insbesondere um allfällige Ausschlüsse aus dem
Polizzenumfang oder mangelnde Deckung aufgrund der Nichtzahlung von
Prämien gleich zu Beginn zu klären und auch die Gefahr von
allfälligen Obliegenheitsverletzungen durch verspätete Anzeige
auszuschließen.</w:t>
      </w:r>
    </w:p>
    <w:p>
      <w:pPr>
        <w:widowControl w:val="on"/>
        <w:pBdr/>
        <w:spacing w:before="140" w:after="240" w:line="288" w:lineRule="auto"/>
        <w:ind w:left="0" w:right="0"/>
        <w:jc w:val="left"/>
      </w:pPr>
      <w:r>
        <w:rPr>
          <w:rFonts w:ascii="Arial" w:hAnsi="Arial" w:eastAsia="Arial" w:cs="Arial"/>
          <w:color w:val="000000"/>
          <w:sz w:val="20"/>
          <w:szCs w:val="20"/>
        </w:rPr>
        <w:t xml:space="preserve">Im Zuge dessen sollten auch für den Mandanten verbleibende
Kostenrisiken abgeklärt werden. Viele Polizzen sehen einen
(Mindest-)Selbstbehalt (insbesondere bei freier Anwaltswahl) vor,
der jedenfalls kommuniziert werden sollte. Auch sollte der Mandant
darauf hingewiesen werden, dass Rechtsschutzversicherungen generell
Anwaltskosten ausschließlich gem RATG und Einheitssatz ersetzen.
Abweichende Vereinbarungen mit dem Mandanten (zB Stundensatz) sind
gegenüber der Versicherung nicht wirksam. Weiters werden Schreiben
an die Rechtsschutzversicherung nicht entlohnt. Auch hier sollte
mit dem Mandanten vorab geklärt werden, ob diese Schreiben
gesondert honoriert werden oder nicht.</w:t>
      </w:r>
    </w:p>
    <w:p>
      <w:pPr>
        <w:widowControl w:val="on"/>
        <w:pBdr/>
        <w:spacing w:before="140" w:after="240" w:line="288" w:lineRule="auto"/>
        <w:ind w:left="0" w:right="0"/>
        <w:jc w:val="left"/>
      </w:pPr>
      <w:r>
        <w:rPr>
          <w:rFonts w:ascii="Arial" w:hAnsi="Arial" w:eastAsia="Arial" w:cs="Arial"/>
          <w:color w:val="000000"/>
          <w:sz w:val="20"/>
          <w:szCs w:val="20"/>
        </w:rPr>
        <w:t xml:space="preserve">Unabhängig davon muss auch auf jeden Fall geklärt werden, ob
zunächst die Deckungszusage abgewartet werden soll, bevor der
Anwalt Leistungen erbringt oder nicht. Eine unterbliebene
Aufklärung bzw das Unterbleiben einer entsprechenden Vereinbarung
führt häufig zu Streitigkeiten, wenn in der Folge die Deckung durch
die Rechtsschutzversicherung – berechtigt – abgelehnt wird, der
Anwalt jedoch bereits Leistungen für den Mandanten erbracht hat,
die dieser nun dem Mandanten verrechnen muss.</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Auch wenn der Versicherungsschutz grundsätzlich bereits dadurch
vorliegt, dass ein versichertes Ereignis (Rechtsstreit bzw
drohender Rechtsstreit) eintritt, dient die Deckungsanfrage nicht
nur der bloßen Absicherung, sondern stellt auch eine Obliegenheit
des Versicherungsnehmers dar. Zwar tritt auch in der Praxis immer
wieder der Fall ein, dass die Existenz einer
Rechtsschutzversicherung erst in einem laufenden Verfahren oder
vielleicht sogar nach deren Abschluss hervorkommt, in diesen Fällen
besteht jedoch eine hohe Wahrscheinlichkeit von Diskussionen oder
Konflikten mit dem Rechtsschutzversicherer, wenn von diesem in der
Folge Obliegenheitsverletzungen behauptet werden.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 E-Mail: …</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Schon aus Zeitgründen empfiehlt es sich, die Deckungsanfrage per
E-Mail zu versenden. Sofern die E-Mail-Adresse nicht bekannt ist,
sollte diese der Homepage der Rechtsschutzversicherung entnommen
werden. Oft haben Rechtsschutzversicherer eine eigene
E-Mail-Adresse für Anfragen zu Schadensfällen, was die Bearbeitung
zusätzlich beschleunigen kann.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Betrifft: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Ihre Versicherungsnehmerin: Sabine
Gutberaten</w:t>
            </w:r>
            <w:r>
              <w:rPr>
                <w:rFonts w:ascii="Arial" w:hAnsi="Arial" w:eastAsia="Arial" w:cs="Arial"/>
                <w:b/>
                <w:bCs/>
                <w:color w:val="000000"/>
                <w:position w:val="0"/>
                <w:sz w:val="20"/>
                <w:szCs w:val="20"/>
                <w:shd w:val="clear" w:color="auto" w:fill="FFFFFF"/>
              </w:rPr>
              <w:br/>
              <w:t xml:space="preserve">Polizzennummer: RS43230583-4</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Für die erforderliche Zuordnung ist jedenfalls der Name des
Versicherungsnehmers und idealerweise die Polizzennummer
anzuführen. Sollte die Deckungsanfrage sich nicht auf den
Versicherungsnehmer selbst beziehen, sondern auf mitversicherte
Personen (insbesondere Ehegatte, Kinder im gemeinsamen Haushalt),
sind der Versicherungsnehmer und der entsprechende Grund der
Mitversicherung anzuführen (zB „Der Geschädigte ist der Ehegatte
Ihrer Versicherungsnehmerin.“).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Eingangs dürfen wir Ihnen mitteilen, dass uns Ihre
Versicherungsnehmerin, Frau Sabine Gutberaten, mit ihrer
rechtlichen Vertretung bevollmächtigt und beauftragt hat.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In der Praxis begnügen sich die Rechtsschutzversicherer mit der
Berufung auf die erteilte Vollmacht. Insbesondere bei deutschen
Rechtsschutzversicherungen wird hingegen regelmäßig die Vorlage
einer schriftlichen Vollmacht gefordert. Das Bestehen auf deren
Vorlage ist grundsätzlich zulässig, da sich das Privileg des
§ 8 Abs 1, letzter Satz, RAO nur auf Gerichte und
Behörden bezieht.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Ihre Versicherungsnehmerin wurde am 23.10.2024 bei einem
Verkehrsunfall in 1160 Wien, Hernalser Hauptstraße 137/Kreuzung
Lindenweg, schwer verletzt, als sie beim Überqueren des sich an der
Kreuzung befindlichen Schutzweges vom Pkw Audi A6 mit dem
behördlichen Kennzeichen W-43029 L, gelenkt von Mag. Anton Achtlos,
niedergestoßen wurde.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dem gegenständlichen Unfall trägt Herr Achtlos das
Alleinverschulden, da er Ihre Versicherungsnehmerin, die gut
sichtbar und ordnungsgemäß den dortigen Schutzweg benutzte,
offenkundig übersah und dazu trotz der dortigen
Geschwindigkeitsbegrenzung von 30 km/h mit überhöhter
Geschwindigkeit fuhr. Durch den Unfall erlitt Ihre
Versicherungsnehmerin einen Bruch des linken Unterschenkels, eine
leichte Gehirnerschütterung sowie zahlreiche Abschürfungen. Gegen
den Lenker wurde auch ein Strafverfahren eingeleitet, welches
derzeit bei der Staatsanwaltschaft Wien unter der GZ 126 BAZ 53/15
geführt wird.</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In der Folge ist dem Rechtsschutzversicherer der zugrundeliegende
Sachverhalt derart zu schildern, dass dieser eine Prüfung vornehmen
kann, ob der vorliegende Fall der Deckungspflicht unterliegt. Von
besonderer Wichtigkeit sind in diesem Zusammenhang das Datum des
Vorfalls (zur Prüfung, ob der Schadenfall in den versicherten
Zeitraum fällt) und die entsprechende Sparte (allgemeines
Zivilrecht, Strafverfahren, Mietstreitigkeit, arbeitsrechtliche
Themen etc). Weiters soll der Versicherung auch ermöglicht werden,
eine mutwillige Prozessführung auszuschließen bzw die Aussichten
des beabsichtigten Prozesses zu beurteilen. Dafür ist grundsätzlich
eine schlüssige Darstellung des Anspruchs ausreichend; der
Prüfungsmaßstab des Rechtsschutzversicherers darf hier nicht zu
streng angesetzt werden.</w:t>
      </w:r>
    </w:p>
    <w:p>
      <w:pPr>
        <w:widowControl w:val="on"/>
        <w:pBdr/>
        <w:spacing w:before="140" w:after="240" w:line="288" w:lineRule="auto"/>
        <w:ind w:left="0" w:right="0"/>
        <w:jc w:val="left"/>
      </w:pPr>
      <w:r>
        <w:rPr>
          <w:rFonts w:ascii="Arial" w:hAnsi="Arial" w:eastAsia="Arial" w:cs="Arial"/>
          <w:color w:val="000000"/>
          <w:sz w:val="20"/>
          <w:szCs w:val="20"/>
        </w:rPr>
        <w:t xml:space="preserve">Wie ausführlich die Darstellung des Sachverhaltes erfolgen muss,
ist von Rechtsschutzversicherer zu Rechtsschutzversicherer
unterschiedlich. Als Maßstab sollte eine kurze Klagserzählung
herangezogen werden. Wie erwähnt, dient die Schilderung im
Wesentlichen dazu, der Versicherung eine Prüfung der
Versicherungsdeckung zu ermöglichen.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Frau Gutberaten hat uns nunmehr mit der Durchsetzung ihrer
rechtlichen Ansprüche, insbesondere im Rahmen ihrer Vertretung als
Privatbeteiligte im genannten Strafverfahren sowie gegenüber Herrn
Achtlos, dessen Ehegattin als Zulassungsbesitzerin und der Mobil
Versicherung AG, bei welcher das gegenständliche Fahrzeug
haftpflichtversichert ist, beauftragt.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Neben dem Sachverhalt sollte der Versicherung auch dargelegt
werden, welche Schritte nunmehr gesetzt werden bzw wofür überhaupt
die Versicherungsdeckung eingefordert wird. Grundsätzlich erteilen
Rechtsschutzversicherer zunächst Deckung für das außergerichtliche
Einschreiten und ersuchen um Vorlage eines Klagsentwurfes, sollte
diese erhoben werden. Das Intervall der Berichterstattung ergibt
sich aber meist ohnedies aufgrund der Tatsache, dass regelmäßig
auch Barauslagen eingefordert werden (zB Pauschalgebühr für Klage
vor Klagserhebung, direkte Anweisung von Sachverständigengebühren
bei entsprechender Vorschreibung durch das Gericht,
Pauschalgebühren für Berufungsverfahren etc). In der Regel verfügen
Rechtsschutzversicherer auch über allgemeine Richtlinien für von
ihnen beauftragte Rechtsanwälte, die üblicherweise im Zuge der
Deckungszusage übermittelt werden oder auf welche zumindest
verwiesen wird.</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Neben einem angemessenen Schmerzengeld, welches wir derzeit mit
EUR 15.000,– beziffern, stehen Ihrer Versicherungsnehmerin
EUR 200,– aus beschädigter Kleidung, EUR 380,– an nicht
durch die Krankenversicherung abgedeckten Heilungskosten und
EUR 150,– an pauschalen Unkosten zu, welche wir gegenüber der
Gegenseite geltend machen werden.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Abschließend sollte auch zumindest eine Schätzung über den
anzunehmenden Streitwert erfolgen. Sofern die Ansprüche bereits
konkret beziffert werden können, kann bereits in der
Deckungsanfrage eine Aufstellung erfolgen, andernfalls sich
zumindest eine grobe Schätzung empfiehlt. Dies ist auch
empfehlenswert, um allfällige Höchstgrenzen und Selbstbehalte von
der Versicherung zu erfahren.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Ihrer Kenntnisnahme übermitteln wir unseren Handakt und
stehen für allfällige Rückfragen gerne zur Verfügung.</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Auch hier hängt der geforderte Detailgrad vom jeweiligen
Rechtsschutzversicherer ab. Häufig genügt eine bloße Darstellung
ohne Übermittlung von Unterlagen. Insbesondere bei Strafakten wird
von den Versicherern häufig eine Aktabschrift gefordert. Der
Einfachheit halber sollten aussagekräftige Unterlagen, die bereits
im Zeitpunkt der Anfrage vorhanden sind (Unfallbericht, Rechnungen
etc) bereits mit der Anfrage übermittelt werden, um zeitaufwendige
Rückfragen zu vermeiden. Der Rechtsschutzversicherung müssen
jedenfalls sämtliche Informationen und Unterlagen vorliegen, um das
Vorliegen oder Nichtvorliegen der Rechtsschutzdeckung prüfen zu
können.</w:t>
      </w:r>
    </w:p>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Gem § 158n VersVG ist der Rechtsschutzversicherer
verpflichtet, binnen zwei Wochen nach Erhalt der
Deckungsanforderung sowie aller für die Deckungsprüfung notwendigen
Informationen und Unterlagen die Deckung zu bestätigen oder
begründet abzulehnen. Es empfiehlt sich daher eine entsprechende
Kalendierung.</w:t>
      </w:r>
    </w:p>
    <w:p>
      <w:pPr>
        <w:widowControl w:val="on"/>
        <w:pBdr/>
        <w:spacing w:before="140" w:after="240" w:line="288" w:lineRule="auto"/>
        <w:ind w:left="0" w:right="0"/>
        <w:jc w:val="left"/>
      </w:pPr>
      <w:r>
        <w:rPr>
          <w:rFonts w:ascii="Arial" w:hAnsi="Arial" w:eastAsia="Arial" w:cs="Arial"/>
          <w:color w:val="000000"/>
          <w:sz w:val="20"/>
          <w:szCs w:val="20"/>
        </w:rPr>
        <w:t xml:space="preserve">Der Rechtsschutzversicherer kann auch noch im Deckungsprozess
weitere Ablehnungsgründe nachtragen. Er unterliegt hier keiner
Eventualmaxime (RIS-Justiz RS0129404).</w:t>
      </w:r>
    </w:p>
    <w:p>
      <w:pPr>
        <w:widowControl w:val="on"/>
        <w:pBdr/>
        <w:spacing w:before="140" w:after="240" w:line="288" w:lineRule="auto"/>
        <w:ind w:left="0" w:right="0"/>
        <w:jc w:val="left"/>
      </w:pPr>
      <w:r>
        <w:rPr>
          <w:rFonts w:ascii="Arial" w:hAnsi="Arial" w:eastAsia="Arial" w:cs="Arial"/>
          <w:b/>
          <w:bCs/>
          <w:color w:val="000000"/>
          <w:sz w:val="20"/>
          <w:szCs w:val="20"/>
        </w:rPr>
        <w:t xml:space="preserve">11</w:t>
      </w:r>
      <w:r>
        <w:rPr>
          <w:rFonts w:ascii="Arial" w:hAnsi="Arial" w:eastAsia="Arial" w:cs="Arial"/>
          <w:color w:val="000000"/>
          <w:sz w:val="20"/>
          <w:szCs w:val="20"/>
        </w:rPr>
        <w:br/>
        <w:t xml:space="preserve">Im Hinblick auf die Entscheidung des EuGH vom 10. September 2009,
RS C-199/08 betreffend eine Einschränkung des Rechts des
Rechtsschutzversicherten auf freie Anwaltswahl in Gerichts- und
Verwaltungsverfahren gebietet sich eine einschränkende Auslegung
des Art 10.3. ARB 1995 dahin, dass ein Versicherungsnehmer
auch einen nicht ortsansässigen Rechtsvertreter wählen kann,
jedenfalls wenn dieser verbindlich erklärt, seine Leistungen wie
ein ortsansässiger Vertreter zu verrechnen, da damit der Sinn und
Zweck dieser Klausel (kosteneinsparende und prämiensenkende
Wirkung) gewahrt bleibt (RIS-Justiz RS0125556).</w:t>
      </w:r>
    </w:p>
    <w:p>
      <w:pPr>
        <w:widowControl w:val="on"/>
        <w:pBdr/>
        <w:spacing w:before="140" w:after="240" w:line="288" w:lineRule="auto"/>
        <w:ind w:left="0" w:right="0"/>
        <w:jc w:val="left"/>
      </w:pPr>
      <w:r>
        <w:rPr>
          <w:rFonts w:ascii="Arial" w:hAnsi="Arial" w:eastAsia="Arial" w:cs="Arial"/>
          <w:b/>
          <w:bCs/>
          <w:color w:val="000000"/>
          <w:sz w:val="20"/>
          <w:szCs w:val="20"/>
        </w:rPr>
        <w:t xml:space="preserve">12</w:t>
      </w:r>
      <w:r>
        <w:rPr>
          <w:rFonts w:ascii="Arial" w:hAnsi="Arial" w:eastAsia="Arial" w:cs="Arial"/>
          <w:color w:val="000000"/>
          <w:sz w:val="20"/>
          <w:szCs w:val="20"/>
        </w:rPr>
        <w:br/>
        <w:t xml:space="preserve">Die besondere Hinweispflicht des Versicherers auf ein
Schiedsgutachterverfahren ist bloß gegenüber einem nicht anwaltlich
vertretenen Versicherungsnehmer (§ 158m Abs 1 VersVG) mit
den strengen zivilrechtlichen Sanktionen der Anerkennung des
Versicherungsanspruches verbunden (§ 158 l Abs 2
letzter Satz VersVG = Art 9 Z 4 letzter Satz ARB 1994;
RIS-Justiz RS0116837).</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23419">
    <w:multiLevelType w:val="hybridMultilevel"/>
    <w:lvl w:ilvl="0" w:tplc="84710989">
      <w:start w:val="1"/>
      <w:numFmt w:val="decimal"/>
      <w:lvlText w:val="%1."/>
      <w:lvlJc w:val="left"/>
      <w:pPr>
        <w:ind w:left="720" w:hanging="360"/>
      </w:pPr>
    </w:lvl>
    <w:lvl w:ilvl="1" w:tplc="84710989" w:tentative="1">
      <w:start w:val="1"/>
      <w:numFmt w:val="lowerLetter"/>
      <w:lvlText w:val="%2."/>
      <w:lvlJc w:val="left"/>
      <w:pPr>
        <w:ind w:left="1440" w:hanging="360"/>
      </w:pPr>
    </w:lvl>
    <w:lvl w:ilvl="2" w:tplc="84710989" w:tentative="1">
      <w:start w:val="1"/>
      <w:numFmt w:val="lowerRoman"/>
      <w:lvlText w:val="%3."/>
      <w:lvlJc w:val="right"/>
      <w:pPr>
        <w:ind w:left="2160" w:hanging="180"/>
      </w:pPr>
    </w:lvl>
    <w:lvl w:ilvl="3" w:tplc="84710989" w:tentative="1">
      <w:start w:val="1"/>
      <w:numFmt w:val="decimal"/>
      <w:lvlText w:val="%4."/>
      <w:lvlJc w:val="left"/>
      <w:pPr>
        <w:ind w:left="2880" w:hanging="360"/>
      </w:pPr>
    </w:lvl>
    <w:lvl w:ilvl="4" w:tplc="84710989" w:tentative="1">
      <w:start w:val="1"/>
      <w:numFmt w:val="lowerLetter"/>
      <w:lvlText w:val="%5."/>
      <w:lvlJc w:val="left"/>
      <w:pPr>
        <w:ind w:left="3600" w:hanging="360"/>
      </w:pPr>
    </w:lvl>
    <w:lvl w:ilvl="5" w:tplc="84710989" w:tentative="1">
      <w:start w:val="1"/>
      <w:numFmt w:val="lowerRoman"/>
      <w:lvlText w:val="%6."/>
      <w:lvlJc w:val="right"/>
      <w:pPr>
        <w:ind w:left="4320" w:hanging="180"/>
      </w:pPr>
    </w:lvl>
    <w:lvl w:ilvl="6" w:tplc="84710989" w:tentative="1">
      <w:start w:val="1"/>
      <w:numFmt w:val="decimal"/>
      <w:lvlText w:val="%7."/>
      <w:lvlJc w:val="left"/>
      <w:pPr>
        <w:ind w:left="5040" w:hanging="360"/>
      </w:pPr>
    </w:lvl>
    <w:lvl w:ilvl="7" w:tplc="84710989" w:tentative="1">
      <w:start w:val="1"/>
      <w:numFmt w:val="lowerLetter"/>
      <w:lvlText w:val="%8."/>
      <w:lvlJc w:val="left"/>
      <w:pPr>
        <w:ind w:left="5760" w:hanging="360"/>
      </w:pPr>
    </w:lvl>
    <w:lvl w:ilvl="8" w:tplc="84710989" w:tentative="1">
      <w:start w:val="1"/>
      <w:numFmt w:val="lowerRoman"/>
      <w:lvlText w:val="%9."/>
      <w:lvlJc w:val="right"/>
      <w:pPr>
        <w:ind w:left="6480" w:hanging="180"/>
      </w:pPr>
    </w:lvl>
  </w:abstractNum>
  <w:abstractNum w:abstractNumId="18523418">
    <w:multiLevelType w:val="hybridMultilevel"/>
    <w:lvl w:ilvl="0" w:tplc="24693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23418">
    <w:abstractNumId w:val="18523418"/>
  </w:num>
  <w:num w:numId="18523419">
    <w:abstractNumId w:val="18523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38920347" Type="http://schemas.openxmlformats.org/officeDocument/2006/relationships/numbering" Target="numbering.xml"/><Relationship Id="rId22221473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