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0978181" w:name="document"/>
    <w:bookmarkEnd w:id="70978181"/>
    <w:p/>
    <w:p>
      <w:pPr>
        <w:widowControl w:val="on"/>
        <w:pBdr/>
        <w:spacing w:before="0" w:after="280" w:line="240" w:lineRule="auto"/>
        <w:ind w:left="0" w:right="0"/>
        <w:jc w:val="left"/>
      </w:pPr>
      <w:r>
        <w:rPr>
          <w:rFonts w:ascii="Arial" w:hAnsi="Arial" w:eastAsia="Arial" w:cs="Arial"/>
          <w:color w:val="363A40"/>
          <w:sz w:val="24"/>
          <w:szCs w:val="24"/>
        </w:rPr>
        <w:t xml:space="preserve">Dokument-ID: 1182457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zur Auflösung einer eingetragenen Partnerschaft im
internationalen Kontext (EPG; IPRG; HZÜ; EuZVO)</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hat eine Klage zur Auflösung einer
eingetragenen Partnerschaft im internationalen Kontext zum
Gegenstand. In den Anmerkungen werden ausführlich die Rechtslage
und das Verfahren zu einer solchen Klage dargestellt, insbesondere
auch, was Fragen der Zustellung einer Klage im Ausland
betrifft.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25.07.2024</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Émile Xhaka, geb 04.03.1979, Angestellter</w:t>
            </w:r>
            <w:r>
              <w:rPr>
                <w:rFonts w:ascii="Arial" w:hAnsi="Arial" w:eastAsia="Arial" w:cs="Arial"/>
                <w:color w:val="000000"/>
                <w:position w:val="0"/>
                <w:sz w:val="20"/>
                <w:szCs w:val="20"/>
                <w:shd w:val="clear" w:color="auto" w:fill="FFFFFF"/>
              </w:rPr>
              <w:br/>
              <w:t xml:space="preserve">Bylandtstraat 1, NL-2562GB Den Haag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Harold McMillen, geb 19.07.1979, Angestellter</w:t>
            </w:r>
            <w:r>
              <w:rPr>
                <w:rFonts w:ascii="Arial" w:hAnsi="Arial" w:eastAsia="Arial" w:cs="Arial"/>
                <w:color w:val="000000"/>
                <w:position w:val="0"/>
                <w:sz w:val="20"/>
                <w:szCs w:val="20"/>
                <w:shd w:val="clear" w:color="auto" w:fill="FFFFFF"/>
              </w:rPr>
              <w:br/>
              <w:t xml:space="preserve">22 Rodney Street, Footscray VIC 3011, Australien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Auflösung eingetragene Partnerschaft (BMG EUR 6.000,00
sA)</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Ersuchen</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2 Beilagen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ich um Kenntnisnahme sowie Zustellung
sämtlicher gerichtlicher Schriftstücke zuhanden meines
ausgewiesenen Vertreters.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t xml:space="preserve"> Ich habe mit dem Beklagten am 01.04.2013 die
vor dem Magistrat Wien zur Nr 33/2013 registrierte
eingetragene Partnerschaft begründet.</w:t>
      </w:r>
    </w:p>
    <w:p>
      <w:pPr>
        <w:widowControl w:val="on"/>
        <w:pBdr/>
        <w:spacing w:before="140" w:after="240" w:line="288" w:lineRule="auto"/>
        <w:ind w:left="0" w:right="0"/>
        <w:jc w:val="left"/>
      </w:pPr>
      <w:r>
        <w:rPr>
          <w:rFonts w:ascii="Arial" w:hAnsi="Arial" w:eastAsia="Arial" w:cs="Arial"/>
          <w:color w:val="000000"/>
          <w:sz w:val="20"/>
          <w:szCs w:val="20"/>
        </w:rPr>
        <w:t xml:space="preserve">Der Beklagte ist australischer, ich selbst bin österreichischer
Staatsbürger. Partnerschaftsverträge wurden nicht errichtet. Es
handelt sich beiderseits um die erste Partnerschaft bzw Ehe.</w:t>
      </w:r>
    </w:p>
    <w:p>
      <w:pPr>
        <w:widowControl w:val="on"/>
        <w:pBdr/>
        <w:spacing w:before="140" w:after="240" w:line="288" w:lineRule="auto"/>
        <w:ind w:left="0" w:right="0"/>
        <w:jc w:val="left"/>
      </w:pPr>
      <w:r>
        <w:rPr>
          <w:rFonts w:ascii="Arial" w:hAnsi="Arial" w:eastAsia="Arial" w:cs="Arial"/>
          <w:color w:val="000000"/>
          <w:sz w:val="20"/>
          <w:szCs w:val="20"/>
        </w:rPr>
        <w:t xml:space="preserve">Unser letzter gemeinsamer gewöhnlicher Aufenthaltsort war in
Saudi-Arabien gelegen, wobei diesen weder der Beklagte noch ich
beibehalten haben. Vielmehr ist unsere häusliche Gemeinschaft seit
mittlerweile 12.11.2016 aufgelöst und leben der Beklagte und ich
nunmehr an den jeweiligen im Rubrum genannten Adressen.</w:t>
      </w:r>
    </w:p>
    <w:p>
      <w:pPr>
        <w:widowControl w:val="on"/>
        <w:pBdr/>
        <w:spacing w:before="140" w:after="240" w:line="288" w:lineRule="auto"/>
        <w:ind w:left="0" w:right="0"/>
        <w:jc w:val="left"/>
      </w:pPr>
      <w:r>
        <w:rPr>
          <w:rFonts w:ascii="Arial" w:hAnsi="Arial" w:eastAsia="Arial" w:cs="Arial"/>
          <w:color w:val="000000"/>
          <w:sz w:val="20"/>
          <w:szCs w:val="20"/>
        </w:rPr>
        <w:t xml:space="preserve">Die (internationale) Zuständigkeit des angerufenen Gerichts
gründet sich gem § 76 JN auf meine österreichische
Staatsangehörigkeit sowie den Umstand, dass die gegenständliche
Partnerschaft in Österreich registriert wurde.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395"/>
        <w:gridCol w:w="13125"/>
      </w:tblGrid>
      <w:tr>
        <w:trPr>
          <w:trHeight w:val="0" w:hRule="atLeast"/>
        </w:trPr>
        <w:tc>
          <w:tcPr>
            <w:tcW w:w="139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131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Partnerschaftsurkunde (Beilage ./A)</w:t>
            </w:r>
            <w:r>
              <w:rPr>
                <w:rFonts w:ascii="Arial" w:hAnsi="Arial" w:eastAsia="Arial" w:cs="Arial"/>
                <w:color w:val="000000"/>
                <w:position w:val="0"/>
                <w:sz w:val="20"/>
                <w:szCs w:val="20"/>
                <w:shd w:val="clear" w:color="auto" w:fill="FFFFFF"/>
              </w:rPr>
              <w:br/>
              <w:t xml:space="preserve">Staatsbürgerschaftsnachweis (Beilage ./B)</w:t>
            </w:r>
            <w:r>
              <w:rPr>
                <w:rFonts w:ascii="Arial" w:hAnsi="Arial" w:eastAsia="Arial" w:cs="Arial"/>
                <w:color w:val="000000"/>
                <w:position w:val="0"/>
                <w:sz w:val="20"/>
                <w:szCs w:val="20"/>
                <w:shd w:val="clear" w:color="auto" w:fill="FFFFFF"/>
              </w:rPr>
              <w:br/>
              <w:t xml:space="preserve">Weitere noch vorzulegende Urkunden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t xml:space="preserve"> Aufgrund des beharrlich
partnerschaftswidrigen Verhaltens des Beklagten mir gegenüber ist
unsere Partnerschaft so tief zerrüttet, dass die Wiederherstellung
einer ihrem Wesen entsprechenden Lebensgemeinschaft nicht erwartet
werden kann.</w:t>
      </w:r>
    </w:p>
    <w:p>
      <w:pPr>
        <w:widowControl w:val="on"/>
        <w:pBdr/>
        <w:spacing w:before="140" w:after="240" w:line="288" w:lineRule="auto"/>
        <w:ind w:left="0" w:right="0"/>
        <w:jc w:val="left"/>
      </w:pPr>
      <w:r>
        <w:rPr>
          <w:rFonts w:ascii="Arial" w:hAnsi="Arial" w:eastAsia="Arial" w:cs="Arial"/>
          <w:color w:val="000000"/>
          <w:sz w:val="20"/>
          <w:szCs w:val="20"/>
        </w:rPr>
        <w:t xml:space="preserve">Unter den gegebenen Umständen bin ich jedenfalls zu einer
Fortsetzung der Partnerschaft mit dem Beklagten jedenfalls nicht
mehr bereit.</w:t>
      </w:r>
    </w:p>
    <w:p>
      <w:pPr>
        <w:widowControl w:val="on"/>
        <w:pBdr/>
        <w:spacing w:before="140" w:after="240" w:line="288" w:lineRule="auto"/>
        <w:ind w:left="0" w:right="0"/>
        <w:jc w:val="left"/>
      </w:pPr>
      <w:r>
        <w:rPr>
          <w:rFonts w:ascii="Arial" w:hAnsi="Arial" w:eastAsia="Arial" w:cs="Arial"/>
          <w:color w:val="000000"/>
          <w:sz w:val="20"/>
          <w:szCs w:val="20"/>
        </w:rPr>
        <w:t xml:space="preserve">Zudem ist unsere häusliche Gemeinschaft – wie vorgebracht – seit
mittlerweile mehr als drei Jahren aufgehoben, sodass unsere
Partnerschaft nicht zuletzt auch aus diesem Grunde aufzulösen sein
wird.</w:t>
      </w:r>
    </w:p>
    <w:p>
      <w:pPr>
        <w:widowControl w:val="on"/>
        <w:pBdr/>
        <w:spacing w:before="140" w:after="240" w:line="288" w:lineRule="auto"/>
        <w:ind w:left="0" w:right="0"/>
        <w:jc w:val="left"/>
      </w:pPr>
      <w:r>
        <w:rPr>
          <w:rFonts w:ascii="Arial" w:hAnsi="Arial" w:eastAsia="Arial" w:cs="Arial"/>
          <w:color w:val="000000"/>
          <w:sz w:val="20"/>
          <w:szCs w:val="20"/>
        </w:rPr>
        <w:t xml:space="preserve">Da ich hoffe, mich mit dem Beklagten doch noch auf eine
einvernehmliche Lösung verständigen zu können, beschränke ich mich
vorerst auf obstehendes Vorbringen, würde im Fall eines Scheiterns
der Vergleichsbemühungen jedoch weiteres, detailliertes Vorbringen
erstatten sowie bezughabende Beweisanträge stellen.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Beweise
ausdrücklich vorbehalten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beantrage ich daher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2263542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zwischen den Streitteilen am 01.04.2013 vor dem Magistrat
Wien zur Nr 33/2013 registrierte eingetragene Partnerschaft
wird mit Rechtskraft dieses Urteils aufgelöst.</w:t>
      </w:r>
    </w:p>
    <w:p>
      <w:pPr>
        <w:numPr>
          <w:ilvl w:val="0"/>
          <w:numId w:val="2263542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Verschulden an der Zerrüttung trifft den Beklagten.</w:t>
      </w:r>
    </w:p>
    <w:p>
      <w:pPr>
        <w:numPr>
          <w:ilvl w:val="0"/>
          <w:numId w:val="2263542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weiters schuldig, dem Kläger die Kosten dieses
Rechtsstreites binnen 14 Tagen zuhanden seiner ausgewiesenen
Vertreters (§ 19a RAO) zu ersetzen.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des Haager Übereinkommens über die Zustellung
gerichtlicher und außergerichtlicher Schriftstücke im Ausland in
Zivil- oder Handelssachen vom 15.11.1965 (HZÜ) können gerichtliche
Schriftstücke an im Ausland befindliche Personen auch unmittelbar
durch die Post übersandt werden, sofern der Bestimmungsstaat keinen
Widerspruch erklärt hat. Australien hat dies ausdrücklich nicht
getan (vgl </w:t>
      </w:r>
      <w:hyperlink r:id="rId68766a8b93a895bf1" w:history="1">
        <w:r>
          <w:rPr>
            <w:rFonts w:ascii="Arial" w:hAnsi="Arial" w:eastAsia="Arial" w:cs="Arial"/>
            <w:color w:val="006BB6"/>
            <w:sz w:val="20"/>
            <w:szCs w:val="20"/>
          </w:rPr>
          <w:t xml:space="preserve">https://www.hcch.net/de/instruments/conventions/status
table/notifications/?csid=1062&amp;disp=resdn</w:t>
        </w:r>
      </w:hyperlink>
      <w:r>
        <w:rPr>
          <w:rFonts w:ascii="Arial" w:hAnsi="Arial" w:eastAsia="Arial" w:cs="Arial"/>
          <w:color w:val="000000"/>
          <w:sz w:val="20"/>
          <w:szCs w:val="20"/>
        </w:rPr>
        <w:t xml:space="preserve">), sodass eine
Zustellung mittels eingeschriebener Briefsendung an den Beklagten
gegenständlich möglich ist.</w:t>
      </w:r>
    </w:p>
    <w:p>
      <w:pPr>
        <w:widowControl w:val="on"/>
        <w:pBdr/>
        <w:spacing w:before="140" w:after="240" w:line="288" w:lineRule="auto"/>
        <w:ind w:left="0" w:right="0"/>
        <w:jc w:val="left"/>
      </w:pPr>
      <w:r>
        <w:rPr>
          <w:rFonts w:ascii="Arial" w:hAnsi="Arial" w:eastAsia="Arial" w:cs="Arial"/>
          <w:color w:val="000000"/>
          <w:sz w:val="20"/>
          <w:szCs w:val="20"/>
        </w:rPr>
        <w:t xml:space="preserve">Ich ersuche daher das Gericht um entsprechende Zustellung an den
Beklagten.</w:t>
      </w:r>
    </w:p>
    <w:p>
      <w:pPr>
        <w:widowControl w:val="on"/>
        <w:pBdr/>
        <w:spacing w:before="140" w:after="240" w:line="288" w:lineRule="auto"/>
        <w:ind w:left="0" w:right="0"/>
        <w:jc w:val="left"/>
      </w:pPr>
      <w:r>
        <w:rPr>
          <w:rFonts w:ascii="Arial" w:hAnsi="Arial" w:eastAsia="Arial" w:cs="Arial"/>
          <w:color w:val="000000"/>
          <w:sz w:val="20"/>
          <w:szCs w:val="20"/>
        </w:rPr>
        <w:t xml:space="preserve">Émile Xhaka</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8556753" w:name="note1"/>
            <w:bookmarkEnd w:id="48556753"/>
            <w:bookmarkStart w:id="3991157568700" w:name="note1"/>
            <w:r>
              <w:rPr>
                <w:rFonts w:ascii="Arial" w:hAnsi="Arial" w:eastAsia="Arial" w:cs="Arial"/>
                <w:b/>
                <w:bCs/>
                <w:color w:val="000000"/>
                <w:position w:val="0"/>
                <w:sz w:val="20"/>
                <w:szCs w:val="20"/>
              </w:rPr>
              <w:t xml:space="preserve">[1]</w:t>
            </w:r>
            <w:bookmarkEnd w:id="399115756870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Begründung, die Wirkungen und die Auflösung von
eingetragenen Partnerschaften sind in Österreich im Bundesgesetz
über die eingetragene Partnerschaft (</w:t>
            </w:r>
            <w:r>
              <w:rPr>
                <w:rFonts w:ascii="Arial" w:hAnsi="Arial" w:eastAsia="Arial" w:cs="Arial"/>
                <w:b/>
                <w:bCs/>
                <w:color w:val="000000"/>
                <w:position w:val="0"/>
                <w:sz w:val="20"/>
                <w:szCs w:val="20"/>
              </w:rPr>
              <w:t xml:space="preserve">Eingetragene
Partnerschaft-Gesetz – EPG</w:t>
            </w:r>
            <w:r>
              <w:rPr>
                <w:rFonts w:ascii="Arial" w:hAnsi="Arial" w:eastAsia="Arial" w:cs="Arial"/>
                <w:color w:val="000000"/>
                <w:position w:val="0"/>
                <w:sz w:val="20"/>
                <w:szCs w:val="20"/>
              </w:rPr>
              <w:t xml:space="preserve">; BGBl I Nr 135/2009)
geregelt. Dieses ist am </w:t>
            </w:r>
            <w:r>
              <w:rPr>
                <w:rFonts w:ascii="Arial" w:hAnsi="Arial" w:eastAsia="Arial" w:cs="Arial"/>
                <w:b/>
                <w:bCs/>
                <w:color w:val="000000"/>
                <w:position w:val="0"/>
                <w:sz w:val="20"/>
                <w:szCs w:val="20"/>
              </w:rPr>
              <w:t xml:space="preserve">01.01.2010</w:t>
            </w:r>
            <w:r>
              <w:rPr>
                <w:rFonts w:ascii="Arial" w:hAnsi="Arial" w:eastAsia="Arial" w:cs="Arial"/>
                <w:color w:val="000000"/>
                <w:position w:val="0"/>
                <w:sz w:val="20"/>
                <w:szCs w:val="20"/>
              </w:rPr>
              <w:t xml:space="preserve"> in Kraft
getreten (§ 45 Abs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Jahr 2017 kam es dann durch den VfGH zur Aufhebung der
Wortfolge „verschiedenen Geschlechtes“ in § 44 ABGB und der
Wortfolgen „gleichgeschlechtlicher Paare“ in § 1 EPG,
„gleichen Geschlechts“ in § 2 EPG sowie der Z 1 des
§ 5 Abs 1 EPG, da die weitere gesetzliche Trennung
verschiedengeschlechtlicher und gleichgeschlechtlicher Beziehungen
in zwei unterschiedliche Rechtsinstitute als gegen das Verbot des
Gleichheitsgrundsatzes, Menschen aufgrund personaler Merkmale wie
der sexuellen Orientierung zu diskriminieren, verstieß (VfGH
04.12.2017, G 258/2017 ua) (G 258-259/2017-9). Die Aufhebung der
erwähnten Bestimmungen trat mit 31.12.2018 in Kraft und steht das
Rechtsinstitut der eingetragenen Partnerschaft nach dem EPG somit
</w:t>
            </w:r>
            <w:r>
              <w:rPr>
                <w:rFonts w:ascii="Arial" w:hAnsi="Arial" w:eastAsia="Arial" w:cs="Arial"/>
                <w:b/>
                <w:bCs/>
                <w:color w:val="000000"/>
                <w:position w:val="0"/>
                <w:sz w:val="20"/>
                <w:szCs w:val="20"/>
              </w:rPr>
              <w:t xml:space="preserve">seit 01.01.2019 allen Personen offen</w:t>
            </w:r>
            <w:r>
              <w:rPr>
                <w:rFonts w:ascii="Arial" w:hAnsi="Arial" w:eastAsia="Arial" w:cs="Arial"/>
                <w:color w:val="000000"/>
                <w:position w:val="0"/>
                <w:sz w:val="20"/>
                <w:szCs w:val="20"/>
              </w:rPr>
              <w:t xml:space="preserv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250083" w:name="note2"/>
            <w:bookmarkEnd w:id="40250083"/>
            <w:bookmarkStart w:id="2346773526848" w:name="note2"/>
            <w:r>
              <w:rPr>
                <w:rFonts w:ascii="Arial" w:hAnsi="Arial" w:eastAsia="Arial" w:cs="Arial"/>
                <w:b/>
                <w:bCs/>
                <w:color w:val="000000"/>
                <w:position w:val="0"/>
                <w:sz w:val="20"/>
                <w:szCs w:val="20"/>
              </w:rPr>
              <w:t xml:space="preserve">[2]</w:t>
            </w:r>
            <w:bookmarkEnd w:id="23467735268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eingetragene Partnerschaft wird durch den
</w:t>
            </w:r>
            <w:r>
              <w:rPr>
                <w:rFonts w:ascii="Arial" w:hAnsi="Arial" w:eastAsia="Arial" w:cs="Arial"/>
                <w:b/>
                <w:bCs/>
                <w:color w:val="000000"/>
                <w:position w:val="0"/>
                <w:sz w:val="20"/>
                <w:szCs w:val="20"/>
              </w:rPr>
              <w:t xml:space="preserve">Tod</w:t>
            </w:r>
            <w:r>
              <w:rPr>
                <w:rFonts w:ascii="Arial" w:hAnsi="Arial" w:eastAsia="Arial" w:cs="Arial"/>
                <w:color w:val="000000"/>
                <w:position w:val="0"/>
                <w:sz w:val="20"/>
                <w:szCs w:val="20"/>
              </w:rPr>
              <w:t xml:space="preserve"> oder die </w:t>
            </w:r>
            <w:r>
              <w:rPr>
                <w:rFonts w:ascii="Arial" w:hAnsi="Arial" w:eastAsia="Arial" w:cs="Arial"/>
                <w:b/>
                <w:bCs/>
                <w:color w:val="000000"/>
                <w:position w:val="0"/>
                <w:sz w:val="20"/>
                <w:szCs w:val="20"/>
              </w:rPr>
              <w:t xml:space="preserve">Todeserklärung</w:t>
            </w:r>
            <w:r>
              <w:rPr>
                <w:rFonts w:ascii="Arial" w:hAnsi="Arial" w:eastAsia="Arial" w:cs="Arial"/>
                <w:color w:val="000000"/>
                <w:position w:val="0"/>
                <w:sz w:val="20"/>
                <w:szCs w:val="20"/>
              </w:rPr>
              <w:t xml:space="preserve"> eines
eingetragenen Partners oder durch eine gerichtliche
Auflösungsentscheidung aufgelöst (§ 13 Abs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Darüber hinaus kann eine eingetragene Partnerschaft wegen
</w:t>
            </w:r>
            <w:r>
              <w:rPr>
                <w:rFonts w:ascii="Arial" w:hAnsi="Arial" w:eastAsia="Arial" w:cs="Arial"/>
                <w:b/>
                <w:bCs/>
                <w:color w:val="000000"/>
                <w:position w:val="0"/>
                <w:sz w:val="20"/>
                <w:szCs w:val="20"/>
              </w:rPr>
              <w:t xml:space="preserve">Willensmängeln</w:t>
            </w:r>
            <w:r>
              <w:rPr>
                <w:rFonts w:ascii="Arial" w:hAnsi="Arial" w:eastAsia="Arial" w:cs="Arial"/>
                <w:color w:val="000000"/>
                <w:position w:val="0"/>
                <w:sz w:val="20"/>
                <w:szCs w:val="20"/>
              </w:rPr>
              <w:t xml:space="preserve"> (§ 14 EPG), wegen
</w:t>
            </w:r>
            <w:r>
              <w:rPr>
                <w:rFonts w:ascii="Arial" w:hAnsi="Arial" w:eastAsia="Arial" w:cs="Arial"/>
                <w:b/>
                <w:bCs/>
                <w:color w:val="000000"/>
                <w:position w:val="0"/>
                <w:sz w:val="20"/>
                <w:szCs w:val="20"/>
              </w:rPr>
              <w:t xml:space="preserve">Verschuldens</w:t>
            </w:r>
            <w:r>
              <w:rPr>
                <w:rFonts w:ascii="Arial" w:hAnsi="Arial" w:eastAsia="Arial" w:cs="Arial"/>
                <w:color w:val="000000"/>
                <w:position w:val="0"/>
                <w:sz w:val="20"/>
                <w:szCs w:val="20"/>
              </w:rPr>
              <w:t xml:space="preserve"> oder wegen
</w:t>
            </w:r>
            <w:r>
              <w:rPr>
                <w:rFonts w:ascii="Arial" w:hAnsi="Arial" w:eastAsia="Arial" w:cs="Arial"/>
                <w:b/>
                <w:bCs/>
                <w:color w:val="000000"/>
                <w:position w:val="0"/>
                <w:sz w:val="20"/>
                <w:szCs w:val="20"/>
              </w:rPr>
              <w:t xml:space="preserve">Zerrüttung</w:t>
            </w:r>
            <w:r>
              <w:rPr>
                <w:rFonts w:ascii="Arial" w:hAnsi="Arial" w:eastAsia="Arial" w:cs="Arial"/>
                <w:color w:val="000000"/>
                <w:position w:val="0"/>
                <w:sz w:val="20"/>
                <w:szCs w:val="20"/>
              </w:rPr>
              <w:t xml:space="preserve"> (§ 15 EPG) aufgelöst werden.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Wie eine Ehe kann aber auch eine eingetragene Partnerschaft
</w:t>
            </w:r>
            <w:r>
              <w:rPr>
                <w:rFonts w:ascii="Arial" w:hAnsi="Arial" w:eastAsia="Arial" w:cs="Arial"/>
                <w:b/>
                <w:bCs/>
                <w:color w:val="277DB9"/>
                <w:position w:val="0"/>
                <w:sz w:val="20"/>
                <w:szCs w:val="20"/>
              </w:rPr>
              <w:t xml:space="preserve">nichtig</w:t>
            </w:r>
            <w:r>
              <w:rPr>
                <w:rFonts w:ascii="Arial" w:hAnsi="Arial" w:eastAsia="Arial" w:cs="Arial"/>
                <w:color w:val="277DB9"/>
                <w:position w:val="0"/>
                <w:sz w:val="20"/>
                <w:szCs w:val="20"/>
              </w:rPr>
              <w:t xml:space="preserve"> sein (§ 19 Abs 2 EPG), bspw wenn
ein eingetragener Partner zur Zeit ihrer Begründung mit einer
dritten Person in gültiger Ehe oder in gültiger eingetragener
Partnerschaft lebte oder sie den Verboten des § 5 Abs 1
Z 3 EPG zuwider zwischen Verwandten begründet worden ist
(§ 19 Abs 2 Z 3 und 4 EPG) oder ein eingetragener
Partner bei Begründung der eingetragenen Partnerschaft nicht
partnerschaftsfähig war.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2429804" w:name="note3"/>
            <w:bookmarkEnd w:id="62429804"/>
            <w:bookmarkStart w:id="8318118306861" w:name="note3"/>
            <w:r>
              <w:rPr>
                <w:rFonts w:ascii="Arial" w:hAnsi="Arial" w:eastAsia="Arial" w:cs="Arial"/>
                <w:b/>
                <w:bCs/>
                <w:color w:val="000000"/>
                <w:position w:val="0"/>
                <w:sz w:val="20"/>
                <w:szCs w:val="20"/>
              </w:rPr>
              <w:t xml:space="preserve">[3]</w:t>
            </w:r>
            <w:bookmarkEnd w:id="831811830686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Auflösung einer eingetragenen Partnerschaft kann
grundsätzlich ein eingetragener Partner nur selbst begehren, wenn
er dafür </w:t>
            </w:r>
            <w:r>
              <w:rPr>
                <w:rFonts w:ascii="Arial" w:hAnsi="Arial" w:eastAsia="Arial" w:cs="Arial"/>
                <w:b/>
                <w:bCs/>
                <w:color w:val="000000"/>
                <w:position w:val="0"/>
                <w:sz w:val="20"/>
                <w:szCs w:val="20"/>
              </w:rPr>
              <w:t xml:space="preserve">entscheidungsfähig</w:t>
            </w:r>
            <w:r>
              <w:rPr>
                <w:rFonts w:ascii="Arial" w:hAnsi="Arial" w:eastAsia="Arial" w:cs="Arial"/>
                <w:color w:val="000000"/>
                <w:position w:val="0"/>
                <w:sz w:val="20"/>
                <w:szCs w:val="20"/>
              </w:rPr>
              <w:t xml:space="preserve"> ist (§ 13
Abs 2 S 1 EPG).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247428" w:name="note4"/>
            <w:bookmarkEnd w:id="71247428"/>
            <w:bookmarkStart w:id="5599237551980" w:name="note4"/>
            <w:r>
              <w:rPr>
                <w:rFonts w:ascii="Arial" w:hAnsi="Arial" w:eastAsia="Arial" w:cs="Arial"/>
                <w:b/>
                <w:bCs/>
                <w:color w:val="000000"/>
                <w:position w:val="0"/>
                <w:sz w:val="20"/>
                <w:szCs w:val="20"/>
              </w:rPr>
              <w:t xml:space="preserve">[4]</w:t>
            </w:r>
            <w:bookmarkEnd w:id="559923755198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inländische Gerichtsbarkeit</w:t>
            </w:r>
            <w:r>
              <w:rPr>
                <w:rFonts w:ascii="Arial" w:hAnsi="Arial" w:eastAsia="Arial" w:cs="Arial"/>
                <w:color w:val="000000"/>
                <w:position w:val="0"/>
                <w:sz w:val="20"/>
                <w:szCs w:val="20"/>
              </w:rPr>
              <w:t xml:space="preserve"> für
Streitigkeiten über die Auflösung oder Nichtigerklärung sowie die
Feststellung des Bestehens oder Nichtbestehens einer eingetragenen
Partnerschaft ist für in Österreich eingetragene Partnerschaften
jedenfalls gegeben (§ 76 Abs 3 JN).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w:t>
            </w:r>
            <w:r>
              <w:rPr>
                <w:rFonts w:ascii="Arial" w:hAnsi="Arial" w:eastAsia="Arial" w:cs="Arial"/>
                <w:b/>
                <w:bCs/>
                <w:color w:val="000000"/>
                <w:position w:val="0"/>
                <w:sz w:val="20"/>
                <w:szCs w:val="20"/>
              </w:rPr>
              <w:t xml:space="preserve">örtlicher</w:t>
            </w:r>
            <w:r>
              <w:rPr>
                <w:rFonts w:ascii="Arial" w:hAnsi="Arial" w:eastAsia="Arial" w:cs="Arial"/>
                <w:color w:val="000000"/>
                <w:position w:val="0"/>
                <w:sz w:val="20"/>
                <w:szCs w:val="20"/>
              </w:rPr>
              <w:t xml:space="preserve"> Hinsicht ist für Streitigkeiten
über die Auflösung, die Nichtigerklärung oder die Feststellung des
Bestehens oder Nichtbestehens einer eingetragenen Partnerschaft das
Gericht ausschließlich zuständig, in dessen Sprengel die Parteien
ihren gemeinsamen gewöhnlichen Aufenthalt haben oder zuletzt gehabt
haben. Hat zur Zeit der Erhebung der Klage keine der Parteien ihren
gewöhnlichen Aufenthalt in diesem Sprengel oder haben sie im Inland
einen gemeinsamen gewöhnlichen Aufenthalt nicht gehabt, so ist
ausschließlich das Gericht zuständig, in dessen Sprengel der
gewöhnliche Aufenthalt der beklagten Partei oder, falls ein solcher
gewöhnlicher Aufenthalt im Inland fehlt, der gewöhnliche Aufenthalt
der klagenden Partei liegt, sonst das Bezirksgericht Innere Stadt
Wien (§ 76 Abs 1 JN).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6037892" w:name="note5"/>
            <w:bookmarkEnd w:id="36037892"/>
            <w:bookmarkStart w:id="9586529519629" w:name="note5"/>
            <w:r>
              <w:rPr>
                <w:rFonts w:ascii="Arial" w:hAnsi="Arial" w:eastAsia="Arial" w:cs="Arial"/>
                <w:b/>
                <w:bCs/>
                <w:color w:val="000000"/>
                <w:position w:val="0"/>
                <w:sz w:val="20"/>
                <w:szCs w:val="20"/>
              </w:rPr>
              <w:t xml:space="preserve">[5]</w:t>
            </w:r>
            <w:bookmarkEnd w:id="958652951962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Voraussetzungen, die Nichtigkeit einer eingetragenen
Partnerschaft und ihre Auflösung wegen Mängeln bei ihrer Begründung
sind grundsätzlich </w:t>
            </w:r>
            <w:r>
              <w:rPr>
                <w:rFonts w:ascii="Arial" w:hAnsi="Arial" w:eastAsia="Arial" w:cs="Arial"/>
                <w:b/>
                <w:bCs/>
                <w:color w:val="000000"/>
                <w:position w:val="0"/>
                <w:sz w:val="20"/>
                <w:szCs w:val="20"/>
              </w:rPr>
              <w:t xml:space="preserve">nach dem Recht des Staates zu
beurteilen, in dem sie begründet wird</w:t>
            </w:r>
            <w:r>
              <w:rPr>
                <w:rFonts w:ascii="Arial" w:hAnsi="Arial" w:eastAsia="Arial" w:cs="Arial"/>
                <w:color w:val="000000"/>
                <w:position w:val="0"/>
                <w:sz w:val="20"/>
                <w:szCs w:val="20"/>
              </w:rPr>
              <w:t xml:space="preserve"> (§ 27a
IPRG).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österreichischer Rechtslage kann ein:e eingetragene:r
Partner:in zunächst die Auflösung der eingetragenen Partnerschaft
begehren, wenn er:sie zur Zeit der Begründung (oder im Fall der
Bestätigung der Partnerschaft nach § 19 Abs 2 Z 2
EPG) in der </w:t>
            </w:r>
            <w:r>
              <w:rPr>
                <w:rFonts w:ascii="Arial" w:hAnsi="Arial" w:eastAsia="Arial" w:cs="Arial"/>
                <w:b/>
                <w:bCs/>
                <w:color w:val="000000"/>
                <w:position w:val="0"/>
                <w:sz w:val="20"/>
                <w:szCs w:val="20"/>
              </w:rPr>
              <w:t xml:space="preserve">Partnerschaftsfähigkeit beschränkt</w:t>
            </w:r>
            <w:r>
              <w:rPr>
                <w:rFonts w:ascii="Arial" w:hAnsi="Arial" w:eastAsia="Arial" w:cs="Arial"/>
                <w:color w:val="000000"/>
                <w:position w:val="0"/>
                <w:sz w:val="20"/>
                <w:szCs w:val="20"/>
              </w:rPr>
              <w:t xml:space="preserve"> war
(§ 14 Abs 1 Z 1 EPG). Gem § 4 EPG kann eine
eingetragene Partnerschaft begründen, wer volljährig und
entscheidungsfähig ist. § 14 Abs 1 Z 1 EPG
entspricht damit im Wesentlichen § 35 EheG, sodass die
entsprechende Rsp herangezogen werden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Weiters, wenn er:sie bei der Begründung nicht wusste, dass es
sich um die Begründung einer eingetragenen Partnerschaft handelt,
oder dies zwar wusste, aber eine Erklärung, die eingetragene
Partnerschaft begründen zu wollen, nicht abgeben wollte (§ 14
Abs 2 Z 2 EPG), oder sich in der Person des anderen
</w:t>
            </w:r>
            <w:r>
              <w:rPr>
                <w:rFonts w:ascii="Arial" w:hAnsi="Arial" w:eastAsia="Arial" w:cs="Arial"/>
                <w:b/>
                <w:bCs/>
                <w:color w:val="000000"/>
                <w:position w:val="0"/>
                <w:sz w:val="20"/>
                <w:szCs w:val="20"/>
              </w:rPr>
              <w:t xml:space="preserve">irrte</w:t>
            </w:r>
            <w:r>
              <w:rPr>
                <w:rFonts w:ascii="Arial" w:hAnsi="Arial" w:eastAsia="Arial" w:cs="Arial"/>
                <w:color w:val="000000"/>
                <w:position w:val="0"/>
                <w:sz w:val="20"/>
                <w:szCs w:val="20"/>
              </w:rPr>
              <w:t xml:space="preserve"> (§ 14 Abs 1 Z 3 EPG). Dies
entspricht an sich § 36 EheG. Weiters kann die Auflösung der
eingetragenen Partnerschaft begehrt werden, wenn ein Partner sich
bei der Begründung der eingetragenen Partnerschaft über solche, die
Person des anderen betreffende Umstände irrte, die ihn bei Kenntnis
der Sachlage und bei richtiger Würdigung des Wesens der
eingetragenen Partnerschaft von der Begründung abgehalten hätten
(§ 14 Abs 1 Z 4 EPG). Dies entspricht § 37
EheG. Die Auflösung der Partnerschaft wegen Willensmängeln kann
auch begehrt werden, wenn ein Partner zur Begründung der
eingetragenen Partnerschaft mit Wissen des anderen durch arglistige
Täuschung über solche Umstände, ausgenommen solche über
Vermögensverhältnisse, bestimmt wurde, die ihn bei Kenntnis der
Sachlage und bei richtiger Würdigung des Wesens der eingetragenen
Partnerschaft von der Begründung abgehalten hätten (§ 14
Abs 1 Z 5 EPG). Dies entspricht an sich der
eherechtlichen Bestimmung von § 38 EheG </w:t>
            </w:r>
            <w:r>
              <w:rPr>
                <w:rFonts w:ascii="Arial" w:hAnsi="Arial" w:eastAsia="Arial" w:cs="Arial"/>
                <w:b/>
                <w:bCs/>
                <w:color w:val="000000"/>
                <w:position w:val="0"/>
                <w:sz w:val="20"/>
                <w:szCs w:val="20"/>
              </w:rPr>
              <w:t xml:space="preserve">(arglistige
Täuschung)</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Letztlich kann die Auflösung auch begehrt werden, wenn ein
Partner zur Begründung der eingetragenen Partnerschaft
widerrechtlich durch Drohung bestimmt wurde (§ 14 Abs 1
Z 6 EPG). Dies entspricht § 39 EheG
</w:t>
            </w:r>
            <w:r>
              <w:rPr>
                <w:rFonts w:ascii="Arial" w:hAnsi="Arial" w:eastAsia="Arial" w:cs="Arial"/>
                <w:b/>
                <w:bCs/>
                <w:color w:val="000000"/>
                <w:position w:val="0"/>
                <w:sz w:val="20"/>
                <w:szCs w:val="20"/>
              </w:rPr>
              <w:t xml:space="preserve">(Drohung)</w:t>
            </w:r>
            <w:r>
              <w:rPr>
                <w:rFonts w:ascii="Arial" w:hAnsi="Arial" w:eastAsia="Arial" w:cs="Arial"/>
                <w:color w:val="000000"/>
                <w:position w:val="0"/>
                <w:sz w:val="20"/>
                <w:szCs w:val="20"/>
              </w:rPr>
              <w:t xml:space="preserve">, sodass hier auch auf die einschlägige
eherechtliche Rsp abgestellt werden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entsprechende Auflösungsklage kann nur </w:t>
            </w:r>
            <w:r>
              <w:rPr>
                <w:rFonts w:ascii="Arial" w:hAnsi="Arial" w:eastAsia="Arial" w:cs="Arial"/>
                <w:b/>
                <w:bCs/>
                <w:color w:val="000000"/>
                <w:position w:val="0"/>
                <w:sz w:val="20"/>
                <w:szCs w:val="20"/>
              </w:rPr>
              <w:t xml:space="preserve">binnen eines
Jahres</w:t>
            </w:r>
            <w:r>
              <w:rPr>
                <w:rFonts w:ascii="Arial" w:hAnsi="Arial" w:eastAsia="Arial" w:cs="Arial"/>
                <w:color w:val="000000"/>
                <w:position w:val="0"/>
                <w:sz w:val="20"/>
                <w:szCs w:val="20"/>
              </w:rPr>
              <w:t xml:space="preserve"> erhoben werden (§ 14 Abs 4 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eingetragene Partnerschaft wegen eines Willensmangels
aufgelöst, so ist in den Fällen von § 14 Abs 1 Z 1
bis 4 EPG derjenige eingetragene Partner als schuldig zu erklären,
der den Auflösungsgrund bei Begründung der eingetragenen
Partnerschaft kannte, in den Fällen der Z 5 und 6 derjenige
eingetragene Partner, von dem oder mit dessen Wissen die Täuschung
oder die Drohung verübt worden ist (§ 18 Abs 4 EPG).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4979751" w:name="note6"/>
            <w:bookmarkEnd w:id="64979751"/>
            <w:bookmarkStart w:id="2188409405371" w:name="note6"/>
            <w:r>
              <w:rPr>
                <w:rFonts w:ascii="Arial" w:hAnsi="Arial" w:eastAsia="Arial" w:cs="Arial"/>
                <w:b/>
                <w:bCs/>
                <w:color w:val="000000"/>
                <w:position w:val="0"/>
                <w:sz w:val="20"/>
                <w:szCs w:val="20"/>
              </w:rPr>
              <w:t xml:space="preserve">[6]</w:t>
            </w:r>
            <w:bookmarkEnd w:id="218840940537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Voraussetzungen und die Wirkungen der Auflösung der
eingetragenen Partnerschaft sind darüber hinaus zu beurteilen
(§ 27d IPRG)</w:t>
            </w:r>
          </w:p>
          <w:p>
            <w:pPr>
              <w:numPr>
                <w:ilvl w:val="0"/>
                <w:numId w:val="83818465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nach dem Recht des Staates, in dem die eingetragenen Partner im
Zeitpunkt der Auflösung ihren gemeinsamen gewöhnlichen Aufenthalt
haben, mangels eines solchen nach dem Recht des Staates, in dem
beide davor ihren letzten gewöhnlichen Aufenthalt gehabt haben,
sofern ihn einer von ihnen beibehalten hat (Z 1);</w:t>
            </w:r>
          </w:p>
          <w:p>
            <w:pPr>
              <w:numPr>
                <w:ilvl w:val="0"/>
                <w:numId w:val="83818465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nach dem im Zeitpunkt der Auflösung gemeinsamen, mangels eines
solchen nach dem davor letzten gemeinsamen Personalstatut der
eingetragenen Partner, sofern es einer von ihnen beibehalten hat,
wenn die Voraussetzungen für die Anwendung des in Z 1
bestimmten Rechts nicht vorliegen oder wenn die eingetragene
Partnerschaft nach diesem Recht aufgrund der geltend gemachten
Tatsachen nicht aufgelöst werden kann (Z 2);</w:t>
            </w:r>
          </w:p>
          <w:p>
            <w:pPr>
              <w:numPr>
                <w:ilvl w:val="0"/>
                <w:numId w:val="83818465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sonst nach österreichischem Recht; dieses ist auch anzuwenden,
wenn nach dem nach Z 2 maßgebenden Recht die eingetragene
Partnerschaft aufgrund der geltend gemachten Tatsachen nicht
aufgelöst werden kann (Z 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diesem Sinne kann nach dem österreichischen EPG ein
eingetragener Partner mit Klage die Auflösung der eingetragenen
Partnerschaft begehren, wenn der andere Teil durch eine schwere
Verfehlung die eingetragene Partnerschaft schuldhaft so tief
zerrüttet hat, dass die Wiederherstellung einer ihrem Wesen
entsprechenden Lebensgemeinschaft nicht erwartet werden kann. Eine
schwere Verfehlung liegt insbesondere vor, wenn ein eingetragener
Partner dem anderen körperliche Gewalt oder schweres seelisches
Leid zugefügt hat (§ 15 Abs 1 EPG). § 15 Abs 1
EPG entspricht damit grundsätzlich § 49 EheG. Grundsätzlich
wird daher in Zusammenhang mit § 15 Abs 1 EPG auch auf
die Rsp zu § 49 EheG abgestellt werden können.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In § 15 Abs 1 EPG fehlt gegenüber § 49 EheG die
Wendung „oder durch ehrloses oder unsittliches Verhalten“. Nach hA
wird hier aber wohl von einem Redaktionsversehen des Gesetzgebers
auszugehen sein (</w:t>
            </w:r>
            <w:r>
              <w:rPr>
                <w:rFonts w:ascii="Arial" w:hAnsi="Arial" w:eastAsia="Arial" w:cs="Arial"/>
                <w:i/>
                <w:iCs/>
                <w:color w:val="277DB9"/>
                <w:position w:val="0"/>
                <w:sz w:val="20"/>
                <w:szCs w:val="20"/>
              </w:rPr>
              <w:t xml:space="preserve">Aichhorn</w:t>
            </w:r>
            <w:r>
              <w:rPr>
                <w:rFonts w:ascii="Arial" w:hAnsi="Arial" w:eastAsia="Arial" w:cs="Arial"/>
                <w:color w:val="277DB9"/>
                <w:position w:val="0"/>
                <w:sz w:val="20"/>
                <w:szCs w:val="20"/>
              </w:rPr>
              <w:t xml:space="preserve"> in </w:t>
            </w:r>
            <w:r>
              <w:rPr>
                <w:rFonts w:ascii="Arial" w:hAnsi="Arial" w:eastAsia="Arial" w:cs="Arial"/>
                <w:i/>
                <w:iCs/>
                <w:color w:val="277DB9"/>
                <w:position w:val="0"/>
                <w:sz w:val="20"/>
                <w:szCs w:val="20"/>
              </w:rPr>
              <w:t xml:space="preserve">Schwimann/Kodek</w:t>
            </w:r>
            <w:r>
              <w:rPr>
                <w:rFonts w:ascii="Arial" w:hAnsi="Arial" w:eastAsia="Arial" w:cs="Arial"/>
                <w:color w:val="277DB9"/>
                <w:position w:val="0"/>
                <w:sz w:val="20"/>
                <w:szCs w:val="20"/>
              </w:rPr>
              <w:t xml:space="preserve">,
ABGB, Band 25, § 15 EPG Rz 2;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in
</w:t>
            </w:r>
            <w:r>
              <w:rPr>
                <w:rFonts w:ascii="Arial" w:hAnsi="Arial" w:eastAsia="Arial" w:cs="Arial"/>
                <w:i/>
                <w:iCs/>
                <w:color w:val="277DB9"/>
                <w:position w:val="0"/>
                <w:sz w:val="20"/>
                <w:szCs w:val="20"/>
              </w:rPr>
              <w:t xml:space="preserve">Gitschthaler/Höllwerth</w:t>
            </w:r>
            <w:r>
              <w:rPr>
                <w:rFonts w:ascii="Arial" w:hAnsi="Arial" w:eastAsia="Arial" w:cs="Arial"/>
                <w:color w:val="277DB9"/>
                <w:position w:val="0"/>
                <w:sz w:val="20"/>
                <w:szCs w:val="20"/>
              </w:rPr>
              <w:t xml:space="preserve">, Ehe- und Partnerschaftsrecht,
2022², § 15 EPG Rz 1 mwN).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Zwar nennt § 15 Abs 1 EPG als Beispiel für eine
schwere Verfehlungen den Tatbestand des Ehebruchs nicht
ausdrücklich. Geschlechtsverkehr mit einer anderen (gleich- oder
verschiedengeschlechtlichen) Person kann jedoch einen
Auflösungsgrund im Sinne des § 15 EPG darstellen, weil es sich
in § 15 Abs 1 EPG nur um eine demonstrative (arg
„insbesondere“) Aufzählung handelt und eine umfassende
Vertrauensbeziehung im Sinne des § 8 Abs 2 EPG wohl auch
die Treue gegenüber dem Vertragspartner beinhaltet (RIS-Justiz
RS0133880).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t>
            </w:r>
            <w:r>
              <w:rPr>
                <w:rFonts w:ascii="Arial" w:hAnsi="Arial" w:eastAsia="Arial" w:cs="Arial"/>
                <w:b/>
                <w:bCs/>
                <w:color w:val="000000"/>
                <w:position w:val="0"/>
                <w:sz w:val="20"/>
                <w:szCs w:val="20"/>
              </w:rPr>
              <w:t xml:space="preserve">schwere Verfehlung</w:t>
            </w:r>
            <w:r>
              <w:rPr>
                <w:rFonts w:ascii="Arial" w:hAnsi="Arial" w:eastAsia="Arial" w:cs="Arial"/>
                <w:color w:val="000000"/>
                <w:position w:val="0"/>
                <w:sz w:val="20"/>
                <w:szCs w:val="20"/>
              </w:rPr>
              <w:t xml:space="preserve"> liegt darüber hinaus
insbesondere vor, wenn ein Partner dem anderen körperliche Gewalt
oder schweres seelisches Leid zugefügt hat. Die Verfehlung muss
</w:t>
            </w:r>
            <w:r>
              <w:rPr>
                <w:rFonts w:ascii="Arial" w:hAnsi="Arial" w:eastAsia="Arial" w:cs="Arial"/>
                <w:b/>
                <w:bCs/>
                <w:color w:val="000000"/>
                <w:position w:val="0"/>
                <w:sz w:val="20"/>
                <w:szCs w:val="20"/>
              </w:rPr>
              <w:t xml:space="preserve">objektiv schwer</w:t>
            </w:r>
            <w:r>
              <w:rPr>
                <w:rFonts w:ascii="Arial" w:hAnsi="Arial" w:eastAsia="Arial" w:cs="Arial"/>
                <w:color w:val="000000"/>
                <w:position w:val="0"/>
                <w:sz w:val="20"/>
                <w:szCs w:val="20"/>
              </w:rPr>
              <w:t xml:space="preserve"> sein und auch </w:t>
            </w:r>
            <w:r>
              <w:rPr>
                <w:rFonts w:ascii="Arial" w:hAnsi="Arial" w:eastAsia="Arial" w:cs="Arial"/>
                <w:b/>
                <w:bCs/>
                <w:color w:val="000000"/>
                <w:position w:val="0"/>
                <w:sz w:val="20"/>
                <w:szCs w:val="20"/>
              </w:rPr>
              <w:t xml:space="preserve">subjektiv
als partnerschaftszerstörend</w:t>
            </w:r>
            <w:r>
              <w:rPr>
                <w:rFonts w:ascii="Arial" w:hAnsi="Arial" w:eastAsia="Arial" w:cs="Arial"/>
                <w:color w:val="000000"/>
                <w:position w:val="0"/>
                <w:sz w:val="20"/>
                <w:szCs w:val="20"/>
              </w:rPr>
              <w:t xml:space="preserve"> empfunden werden (vgl 3 Ob
27/11h EvBl 2011/97 = EF-Z 2011/109 mwN: vgl </w:t>
            </w:r>
            <w:r>
              <w:rPr>
                <w:rFonts w:ascii="Arial" w:hAnsi="Arial" w:eastAsia="Arial" w:cs="Arial"/>
                <w:i/>
                <w:iCs/>
                <w:color w:val="000000"/>
                <w:position w:val="0"/>
                <w:sz w:val="20"/>
                <w:szCs w:val="20"/>
              </w:rPr>
              <w:t xml:space="preserve">Aichhorn</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Gitschthaler/Höllwerth</w:t>
            </w:r>
            <w:r>
              <w:rPr>
                <w:rFonts w:ascii="Arial" w:hAnsi="Arial" w:eastAsia="Arial" w:cs="Arial"/>
                <w:color w:val="000000"/>
                <w:position w:val="0"/>
                <w:sz w:val="20"/>
                <w:szCs w:val="20"/>
              </w:rPr>
              <w:t xml:space="preserve">, EheG, 2008, § 49 EheG
Rz 3). Eine Verfehlung ist dann als schwer zu bezeichnen, wenn
sie im Allgemeinen und objektiv in den Lebenskreisen und
Berufskreisen der Gatten bei einem selbst mit rechter ehelicher
Gesinnung erfüllten und daher auch zur Nachsicht bereiten Partnern
eine völlige Entfremdung herbeiführen würde (vgl RIS-Justiz
RS0056424). Verlangt wird grundsätzlich ein </w:t>
            </w:r>
            <w:r>
              <w:rPr>
                <w:rFonts w:ascii="Arial" w:hAnsi="Arial" w:eastAsia="Arial" w:cs="Arial"/>
                <w:b/>
                <w:bCs/>
                <w:color w:val="000000"/>
                <w:position w:val="0"/>
                <w:sz w:val="20"/>
                <w:szCs w:val="20"/>
              </w:rPr>
              <w:t xml:space="preserve">schuldhaftes
Verhalten</w:t>
            </w:r>
            <w:r>
              <w:rPr>
                <w:rFonts w:ascii="Arial" w:hAnsi="Arial" w:eastAsia="Arial" w:cs="Arial"/>
                <w:color w:val="000000"/>
                <w:position w:val="0"/>
                <w:sz w:val="20"/>
                <w:szCs w:val="20"/>
              </w:rPr>
              <w:t xml:space="preserve">. Eine Verfehlung </w:t>
            </w:r>
            <w:r>
              <w:rPr>
                <w:rFonts w:ascii="Arial" w:hAnsi="Arial" w:eastAsia="Arial" w:cs="Arial"/>
                <w:b/>
                <w:bCs/>
                <w:color w:val="000000"/>
                <w:position w:val="0"/>
                <w:sz w:val="20"/>
                <w:szCs w:val="20"/>
              </w:rPr>
              <w:t xml:space="preserve">muss im Laufe der
Partnerschaft</w:t>
            </w:r>
            <w:r>
              <w:rPr>
                <w:rFonts w:ascii="Arial" w:hAnsi="Arial" w:eastAsia="Arial" w:cs="Arial"/>
                <w:color w:val="000000"/>
                <w:position w:val="0"/>
                <w:sz w:val="20"/>
                <w:szCs w:val="20"/>
              </w:rPr>
              <w:t xml:space="preserve"> gesetzt worden sein, also zwischen
Begründung der eingetragenen Partnerschaft und Schluss der
mündlichen Verhandlung erster Instanz (vgl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49 EheG Anm 3). Eine Verfehlung bildet zudem
nur dann einen Grund für die Auflösung der eingetragenen
Partnerschaft, wenn sei auch tatsächlich zu deren
</w:t>
            </w:r>
            <w:r>
              <w:rPr>
                <w:rFonts w:ascii="Arial" w:hAnsi="Arial" w:eastAsia="Arial" w:cs="Arial"/>
                <w:b/>
                <w:bCs/>
                <w:color w:val="000000"/>
                <w:position w:val="0"/>
                <w:sz w:val="20"/>
                <w:szCs w:val="20"/>
              </w:rPr>
              <w:t xml:space="preserve">unheilbaren Zerrüttung</w:t>
            </w:r>
            <w:r>
              <w:rPr>
                <w:rFonts w:ascii="Arial" w:hAnsi="Arial" w:eastAsia="Arial" w:cs="Arial"/>
                <w:color w:val="000000"/>
                <w:position w:val="0"/>
                <w:sz w:val="20"/>
                <w:szCs w:val="20"/>
              </w:rPr>
              <w:t xml:space="preserve"> geführt hat, also hierfür
auch </w:t>
            </w:r>
            <w:r>
              <w:rPr>
                <w:rFonts w:ascii="Arial" w:hAnsi="Arial" w:eastAsia="Arial" w:cs="Arial"/>
                <w:b/>
                <w:bCs/>
                <w:color w:val="000000"/>
                <w:position w:val="0"/>
                <w:sz w:val="20"/>
                <w:szCs w:val="20"/>
              </w:rPr>
              <w:t xml:space="preserve">kausal</w:t>
            </w:r>
            <w:r>
              <w:rPr>
                <w:rFonts w:ascii="Arial" w:hAnsi="Arial" w:eastAsia="Arial" w:cs="Arial"/>
                <w:color w:val="000000"/>
                <w:position w:val="0"/>
                <w:sz w:val="20"/>
                <w:szCs w:val="20"/>
              </w:rPr>
              <w:t xml:space="preserve"> war (vgl 1 Ob 20/12s iFamZ 2012/193 =
EvBl‑LS 2012/142).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 der ständigen Rsp stellen bspw </w:t>
            </w:r>
            <w:r>
              <w:rPr>
                <w:rFonts w:ascii="Arial" w:hAnsi="Arial" w:eastAsia="Arial" w:cs="Arial"/>
                <w:b/>
                <w:bCs/>
                <w:color w:val="000000"/>
                <w:position w:val="0"/>
                <w:sz w:val="20"/>
                <w:szCs w:val="20"/>
              </w:rPr>
              <w:t xml:space="preserve">weitere schwere
Verfehlungen</w:t>
            </w:r>
            <w:r>
              <w:rPr>
                <w:rFonts w:ascii="Arial" w:hAnsi="Arial" w:eastAsia="Arial" w:cs="Arial"/>
                <w:color w:val="000000"/>
                <w:position w:val="0"/>
                <w:sz w:val="20"/>
                <w:szCs w:val="20"/>
              </w:rPr>
              <w:t xml:space="preserve"> dar: Verstöße gegen die Pflicht zur
anständigen Begegnung (vgl 10 Ob 60/18y EFSlg 157.343),
Interesselosigkeit gegenüber den Belangen des Partners bzw ein
Leben nur noch für die eigenen Interessen (vgl 8 Ob 111/18h EFSlg
157.348), die Verletzung der Pflicht zum gemeinsamen Wohnen (vgl 2
Ob 170/98h EFSlg 87.450 ua) oder zum Beistand (vgl 6 Ob 780/78
EFSlg 33.934 ua), die Verletzung der Unterhaltspflicht (vgl 1 Ob
20/12s EFSlg 134.769 ua) oder sonstige Verletzungen des sich aus
der umfassenden Lebensgemeinschaft ergebenden Treu- und
Vertrauensverhältnisses (vgl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 49 EheG Anm 10) bzw sonstige Verletzungen des
Einvernehmlichkeitsgrundsatzes.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 selbst eine Verfehlung begangen hat, kann jedoch die
Auflösung der eingetragenen Partnerschaft nicht begehren, wenn nach
der Art der Verfehlung, insbesondere wegen des Zusammenhangs der
Verfehlung des anderen Teils mit dem eigenen Verschulden, das
Auflösungsbegehren bei richtiger Würdigung des Wesens der
eingetragenen Partnerschaft sittlich nicht gerechtfertigt ist
(§ 15 Abs 1 S 3 EPG). Dies entspricht grundsätzlich
§ 49 S 3 EheG. Die Auflösung der Partnerschaft ist in
diesem Sinne abzulehnen, wenn ein Zusammenhang zwischen der
Verfehlung des beklagten Teils mit dem Verhalten des klagenden
Partners besteht und damit das </w:t>
            </w:r>
            <w:r>
              <w:rPr>
                <w:rFonts w:ascii="Arial" w:hAnsi="Arial" w:eastAsia="Arial" w:cs="Arial"/>
                <w:b/>
                <w:bCs/>
                <w:color w:val="000000"/>
                <w:position w:val="0"/>
                <w:sz w:val="20"/>
                <w:szCs w:val="20"/>
              </w:rPr>
              <w:t xml:space="preserve">Auflösungsbegehren sittlich
nicht als zulässig</w:t>
            </w:r>
            <w:r>
              <w:rPr>
                <w:rFonts w:ascii="Arial" w:hAnsi="Arial" w:eastAsia="Arial" w:cs="Arial"/>
                <w:color w:val="000000"/>
                <w:position w:val="0"/>
                <w:sz w:val="20"/>
                <w:szCs w:val="20"/>
              </w:rPr>
              <w:t xml:space="preserve"> erkannt werden kann oder wenn ohne
Zusammenhang der beiderseitigen Verfehlungen die Verfehlungen der
klagenden Partei unverhältnismäßig schwerer wiegen, wobei es auf
das Gesamtverhalten der Partner und die jeweiligen Umstände des
Einzelfalles ankommt (vgl 9 Ob 110/02w).</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Recht auf Auflösung der eingetragenen Partnerschaft wegen
Verschuldens besteht gem § 16 Abs 1 EPG weiters dann
nicht, wenn sich aus dem Verhalten des verletzten eingetragenen
Partners ergibt, dass er die Verfehlung des anderen
</w:t>
            </w:r>
            <w:r>
              <w:rPr>
                <w:rFonts w:ascii="Arial" w:hAnsi="Arial" w:eastAsia="Arial" w:cs="Arial"/>
                <w:b/>
                <w:bCs/>
                <w:color w:val="000000"/>
                <w:position w:val="0"/>
                <w:sz w:val="20"/>
                <w:szCs w:val="20"/>
              </w:rPr>
              <w:t xml:space="preserve">verziehen oder sie nicht als die eingetragene Partnerschaft
zerstörend empfunden</w:t>
            </w:r>
            <w:r>
              <w:rPr>
                <w:rFonts w:ascii="Arial" w:hAnsi="Arial" w:eastAsia="Arial" w:cs="Arial"/>
                <w:color w:val="000000"/>
                <w:position w:val="0"/>
                <w:sz w:val="20"/>
                <w:szCs w:val="20"/>
              </w:rPr>
              <w:t xml:space="preserve"> hat – dies entspricht insoweit einer
Verzeihung nach § 56 EheG. § 16 Abs 2 EPG sieht
weiters einen § 57 EheG entsprechenden
</w:t>
            </w:r>
            <w:r>
              <w:rPr>
                <w:rFonts w:ascii="Arial" w:hAnsi="Arial" w:eastAsia="Arial" w:cs="Arial"/>
                <w:b/>
                <w:bCs/>
                <w:color w:val="000000"/>
                <w:position w:val="0"/>
                <w:sz w:val="20"/>
                <w:szCs w:val="20"/>
              </w:rPr>
              <w:t xml:space="preserve">Fristablauf</w:t>
            </w:r>
            <w:r>
              <w:rPr>
                <w:rFonts w:ascii="Arial" w:hAnsi="Arial" w:eastAsia="Arial" w:cs="Arial"/>
                <w:color w:val="000000"/>
                <w:position w:val="0"/>
                <w:sz w:val="20"/>
                <w:szCs w:val="20"/>
              </w:rPr>
              <w:t xml:space="preserve"> vor, wonach im Wesentlichen das Recht
auf Auflösung der eingetragenen Partnerschaft entsprechend
§ 15 Abs 1 EPG erlischt, wenn die Klage nicht binnen
sechs Monaten erhoben wird; auch diese Frist kann jedoch infolge
einer Aufhebung der häuslichen Gemeinschaft gehemmt sein (vgl
§ 16 Abs 2 S 3 EPG). Verfehlungen, auf die eine
Auflösungsklage nicht mehr gegründet werden kann, können nach
Ablauf der Frist aber zur Unterstützung einer auf andere
Verfehlungen gegründeten Klage geltend gemacht werden (§ 16
Abs 3 S 2 EPG), was grundsätzlich § 59 EheG
entspricht.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Wie auch bei der Scheidung einer Ehe wegen Verschuldens ist bei
der Auflösung einer eingetragenen Partnerschaft wegen Verschuldens
des anderen Teils in das Urteil ein entsprechender
</w:t>
            </w:r>
            <w:r>
              <w:rPr>
                <w:rFonts w:ascii="Arial" w:hAnsi="Arial" w:eastAsia="Arial" w:cs="Arial"/>
                <w:b/>
                <w:bCs/>
                <w:color w:val="000000"/>
                <w:position w:val="0"/>
                <w:sz w:val="20"/>
                <w:szCs w:val="20"/>
              </w:rPr>
              <w:t xml:space="preserve">Verschuldensausspruch</w:t>
            </w:r>
            <w:r>
              <w:rPr>
                <w:rFonts w:ascii="Arial" w:hAnsi="Arial" w:eastAsia="Arial" w:cs="Arial"/>
                <w:color w:val="000000"/>
                <w:position w:val="0"/>
                <w:sz w:val="20"/>
                <w:szCs w:val="20"/>
              </w:rPr>
              <w:t xml:space="preserve"> aufzunehmen (§ 17
Abs 1 EPG). Ist das Verschulden eines Teiles erheblich
schwerer als das des anderen, so ist ein überwiegendes Verschulden
auszusprechen (§ 17 Abs 2 S 2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15 Abs 2 EPG regelt weiters die Auflösung einer
eingetragenen Partnerschaft infolge eines </w:t>
            </w:r>
            <w:r>
              <w:rPr>
                <w:rFonts w:ascii="Arial" w:hAnsi="Arial" w:eastAsia="Arial" w:cs="Arial"/>
                <w:b/>
                <w:bCs/>
                <w:color w:val="000000"/>
                <w:position w:val="0"/>
                <w:sz w:val="20"/>
                <w:szCs w:val="20"/>
              </w:rPr>
              <w:t xml:space="preserve">zerrüttenden
Verhaltens des anderen ohne Verschulden</w:t>
            </w:r>
            <w:r>
              <w:rPr>
                <w:rFonts w:ascii="Arial" w:hAnsi="Arial" w:eastAsia="Arial" w:cs="Arial"/>
                <w:color w:val="000000"/>
                <w:position w:val="0"/>
                <w:sz w:val="20"/>
                <w:szCs w:val="20"/>
              </w:rPr>
              <w:t xml:space="preserve"> bzw im Fall einer
</w:t>
            </w:r>
            <w:r>
              <w:rPr>
                <w:rFonts w:ascii="Arial" w:hAnsi="Arial" w:eastAsia="Arial" w:cs="Arial"/>
                <w:b/>
                <w:bCs/>
                <w:color w:val="000000"/>
                <w:position w:val="0"/>
                <w:sz w:val="20"/>
                <w:szCs w:val="20"/>
              </w:rPr>
              <w:t xml:space="preserve">ansteckenden oder ekelerregenden Krankheit</w:t>
            </w:r>
            <w:r>
              <w:rPr>
                <w:rFonts w:ascii="Arial" w:hAnsi="Arial" w:eastAsia="Arial" w:cs="Arial"/>
                <w:color w:val="000000"/>
                <w:position w:val="0"/>
                <w:sz w:val="20"/>
                <w:szCs w:val="20"/>
              </w:rPr>
              <w:t xml:space="preserve"> des
anderen Teiles und entspricht damit den eherechtlichen Bestimmungen
nach § 50 bzw § 52 EheG. § 15 Abs 4 EPG sieht
in diesem Zusammenhang die Möglichkeit eines Härteeinwandes vor und
entspricht insoweit § 54 EheG. Auf die diesbezüglich
bestehende Judikatur kann somit verwiesen werden. Ein
Verschuldensausspruch kann nach § 18 Abs 2 EPG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die </w:t>
            </w:r>
            <w:r>
              <w:rPr>
                <w:rFonts w:ascii="Arial" w:hAnsi="Arial" w:eastAsia="Arial" w:cs="Arial"/>
                <w:b/>
                <w:bCs/>
                <w:color w:val="000000"/>
                <w:position w:val="0"/>
                <w:sz w:val="20"/>
                <w:szCs w:val="20"/>
              </w:rPr>
              <w:t xml:space="preserve">häusliche Gemeinschaft</w:t>
            </w:r>
            <w:r>
              <w:rPr>
                <w:rFonts w:ascii="Arial" w:hAnsi="Arial" w:eastAsia="Arial" w:cs="Arial"/>
                <w:color w:val="000000"/>
                <w:position w:val="0"/>
                <w:sz w:val="20"/>
                <w:szCs w:val="20"/>
              </w:rPr>
              <w:t xml:space="preserve"> der
eingetragenen Partner </w:t>
            </w:r>
            <w:r>
              <w:rPr>
                <w:rFonts w:ascii="Arial" w:hAnsi="Arial" w:eastAsia="Arial" w:cs="Arial"/>
                <w:b/>
                <w:bCs/>
                <w:color w:val="000000"/>
                <w:position w:val="0"/>
                <w:sz w:val="20"/>
                <w:szCs w:val="20"/>
              </w:rPr>
              <w:t xml:space="preserve">seit drei Jahren aufgehoben</w:t>
            </w:r>
            <w:r>
              <w:rPr>
                <w:rFonts w:ascii="Arial" w:hAnsi="Arial" w:eastAsia="Arial" w:cs="Arial"/>
                <w:color w:val="000000"/>
                <w:position w:val="0"/>
                <w:sz w:val="20"/>
                <w:szCs w:val="20"/>
              </w:rPr>
              <w:t xml:space="preserve">,
so kann gem § 15 Abs 3 EPG jeder Teil wegen
tiefgreifender unheilbarer Zerrüttung der eingetragenen
Partnerschaft deren Auflösung mit Klage begehren. Dem Begehren ist
dann jedenfalls stattzugeben. Dies entspricht der Auflösung der
häuslichen Gemeinschaft gem § 55 Abs 1 EheG.</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Anders als im Eherecht (§§ 55 Abs 2 und 3 EheG) kann
der beklagte Teil hier nicht auf eine Abweisung dieses Begehrens
drängen, sodass die eingetragene Partnerschaft insoweit eine
geringere Bestanddauer als eine Ehe hat (vgl </w:t>
            </w:r>
            <w:r>
              <w:rPr>
                <w:rFonts w:ascii="Arial" w:hAnsi="Arial" w:eastAsia="Arial" w:cs="Arial"/>
                <w:i/>
                <w:iCs/>
                <w:color w:val="277DB9"/>
                <w:position w:val="0"/>
                <w:sz w:val="20"/>
                <w:szCs w:val="20"/>
              </w:rPr>
              <w:t xml:space="preserve">Aichhorn</w:t>
            </w:r>
            <w:r>
              <w:rPr>
                <w:rFonts w:ascii="Arial" w:hAnsi="Arial" w:eastAsia="Arial" w:cs="Arial"/>
                <w:color w:val="277DB9"/>
                <w:position w:val="0"/>
                <w:sz w:val="20"/>
                <w:szCs w:val="20"/>
              </w:rPr>
              <w:t xml:space="preserve">,
aaO, § 15 EPG Rz 6). Hat die klagende Partei die
Zerrüttung allein oder überwiegend verschuldet, so ist dies auf
Antrag der beklagten Partei im Urteil auszusprechen (§ 18
Abs 3 EPG).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Ist die Lebensgemeinschaft der eingetragenen Partner seit
mindestens einem halben Jahr aufgehoben, gestehen beide die
unheilbare Zerrüttung des partnerschaftlichen Verhältnisses zu und
liegt eine entsprechende Auflösungsfolgenvereinbarung vor, ist
schließlich auch eine </w:t>
            </w:r>
            <w:r>
              <w:rPr>
                <w:rFonts w:ascii="Arial" w:hAnsi="Arial" w:eastAsia="Arial" w:cs="Arial"/>
                <w:b/>
                <w:bCs/>
                <w:color w:val="277DB9"/>
                <w:position w:val="0"/>
                <w:sz w:val="20"/>
                <w:szCs w:val="20"/>
              </w:rPr>
              <w:t xml:space="preserve">einvernehmliche Auflösung der
eingetragenen Partnerschaft</w:t>
            </w:r>
            <w:r>
              <w:rPr>
                <w:rFonts w:ascii="Arial" w:hAnsi="Arial" w:eastAsia="Arial" w:cs="Arial"/>
                <w:color w:val="277DB9"/>
                <w:position w:val="0"/>
                <w:sz w:val="20"/>
                <w:szCs w:val="20"/>
              </w:rPr>
              <w:t xml:space="preserve"> analog zu einer
einvernehmlichen Ehescheidung gem § 55a EheG möglich. Vgl dazu
auch zu §§ 93 ff AußStrG.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2773689" w:name="note7"/>
            <w:bookmarkEnd w:id="12773689"/>
            <w:bookmarkStart w:id="3609954826419" w:name="note7"/>
            <w:r>
              <w:rPr>
                <w:rFonts w:ascii="Arial" w:hAnsi="Arial" w:eastAsia="Arial" w:cs="Arial"/>
                <w:b/>
                <w:bCs/>
                <w:color w:val="000000"/>
                <w:position w:val="0"/>
                <w:sz w:val="20"/>
                <w:szCs w:val="20"/>
              </w:rPr>
              <w:t xml:space="preserve">[7]</w:t>
            </w:r>
            <w:bookmarkEnd w:id="36099548264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wesentliche Folge der Auflösung oder Nichtigerklärung einer
eingetragenen Partnerschaft kann – wie auch im Zuge einer
Ehescheidung – eine nachfolgende Verpflichtung zur Leistung von
Unterhalt sein. Die diesbezüglichen Reglungen entsprechend im
Wesentlichen jenen nach dem EheG, sodass auch hier auf die
entsprechenden eherechtlichen Regelungen und die diesbezügliche
Judikatur verwiesen werden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EPG hat der </w:t>
            </w:r>
            <w:r>
              <w:rPr>
                <w:rFonts w:ascii="Arial" w:hAnsi="Arial" w:eastAsia="Arial" w:cs="Arial"/>
                <w:b/>
                <w:bCs/>
                <w:color w:val="000000"/>
                <w:position w:val="0"/>
                <w:sz w:val="20"/>
                <w:szCs w:val="20"/>
              </w:rPr>
              <w:t xml:space="preserve">allein oder überwiegend
schuldige</w:t>
            </w:r>
            <w:r>
              <w:rPr>
                <w:rFonts w:ascii="Arial" w:hAnsi="Arial" w:eastAsia="Arial" w:cs="Arial"/>
                <w:color w:val="000000"/>
                <w:position w:val="0"/>
                <w:sz w:val="20"/>
                <w:szCs w:val="20"/>
              </w:rPr>
              <w:t xml:space="preserve"> eingetragene Partner dem anderen, soweit dessen
Einkünfte aus Vermögen und die Erträgnisse einer Erwerbstätigkeit,
die von ihm den Umständen nach erwartet werden kann, nicht
ausreichen, den nach den Lebensverhältnissen der Partner
angemessenen Unterhalt zu gewähren </w:t>
            </w:r>
            <w:r>
              <w:rPr>
                <w:rFonts w:ascii="Arial" w:hAnsi="Arial" w:eastAsia="Arial" w:cs="Arial"/>
                <w:b/>
                <w:bCs/>
                <w:color w:val="000000"/>
                <w:position w:val="0"/>
                <w:sz w:val="20"/>
                <w:szCs w:val="20"/>
              </w:rPr>
              <w:t xml:space="preserve">(§ 20 Abs 1
EPG)</w:t>
            </w:r>
            <w:r>
              <w:rPr>
                <w:rFonts w:ascii="Arial" w:hAnsi="Arial" w:eastAsia="Arial" w:cs="Arial"/>
                <w:color w:val="000000"/>
                <w:position w:val="0"/>
                <w:sz w:val="20"/>
                <w:szCs w:val="20"/>
              </w:rPr>
              <w:t xml:space="preserve">. Dies entspricht grundsätzlich § 66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 </w:t>
            </w:r>
            <w:r>
              <w:rPr>
                <w:rFonts w:ascii="Arial" w:hAnsi="Arial" w:eastAsia="Arial" w:cs="Arial"/>
                <w:b/>
                <w:bCs/>
                <w:color w:val="000000"/>
                <w:position w:val="0"/>
                <w:sz w:val="20"/>
                <w:szCs w:val="20"/>
              </w:rPr>
              <w:t xml:space="preserve">§ 20 Abs 3 EPG</w:t>
            </w:r>
            <w:r>
              <w:rPr>
                <w:rFonts w:ascii="Arial" w:hAnsi="Arial" w:eastAsia="Arial" w:cs="Arial"/>
                <w:color w:val="000000"/>
                <w:position w:val="0"/>
                <w:sz w:val="20"/>
                <w:szCs w:val="20"/>
              </w:rPr>
              <w:t xml:space="preserve"> kann sich weiters
ein Unterhaltsanspruch nach Billigkeit ergeben, auch wenn ein
</w:t>
            </w:r>
            <w:r>
              <w:rPr>
                <w:rFonts w:ascii="Arial" w:hAnsi="Arial" w:eastAsia="Arial" w:cs="Arial"/>
                <w:b/>
                <w:bCs/>
                <w:color w:val="000000"/>
                <w:position w:val="0"/>
                <w:sz w:val="20"/>
                <w:szCs w:val="20"/>
              </w:rPr>
              <w:t xml:space="preserve">beiderseitiges Verschulden</w:t>
            </w:r>
            <w:r>
              <w:rPr>
                <w:rFonts w:ascii="Arial" w:hAnsi="Arial" w:eastAsia="Arial" w:cs="Arial"/>
                <w:color w:val="000000"/>
                <w:position w:val="0"/>
                <w:sz w:val="20"/>
                <w:szCs w:val="20"/>
              </w:rPr>
              <w:t xml:space="preserve"> an der Auflösung der
eingetragenen Partnerschaft ausgesprochen wurde. Dies entspricht
der eherechtlichen Bestimmung nach § 68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Unabhängig vom Verschulden sieht </w:t>
            </w:r>
            <w:r>
              <w:rPr>
                <w:rFonts w:ascii="Arial" w:hAnsi="Arial" w:eastAsia="Arial" w:cs="Arial"/>
                <w:b/>
                <w:bCs/>
                <w:color w:val="000000"/>
                <w:position w:val="0"/>
                <w:sz w:val="20"/>
                <w:szCs w:val="20"/>
              </w:rPr>
              <w:t xml:space="preserve">§ 20 Abs 4
EPG</w:t>
            </w:r>
            <w:r>
              <w:rPr>
                <w:rFonts w:ascii="Arial" w:hAnsi="Arial" w:eastAsia="Arial" w:cs="Arial"/>
                <w:color w:val="000000"/>
                <w:position w:val="0"/>
                <w:sz w:val="20"/>
                <w:szCs w:val="20"/>
              </w:rPr>
              <w:t xml:space="preserve"> schließlich noch zwei Tatbestände vor, nämlich einen
Unterhaltsanspruch wegen der Haushaltsführung oder der Betreuung
eines Angehörigen eines der eingetragenen Partners und eines
dadurch bewirkten </w:t>
            </w:r>
            <w:r>
              <w:rPr>
                <w:rFonts w:ascii="Arial" w:hAnsi="Arial" w:eastAsia="Arial" w:cs="Arial"/>
                <w:b/>
                <w:bCs/>
                <w:color w:val="000000"/>
                <w:position w:val="0"/>
                <w:sz w:val="20"/>
                <w:szCs w:val="20"/>
              </w:rPr>
              <w:t xml:space="preserve">Mangels an Erwerbsmöglichkeiten</w:t>
            </w:r>
            <w:r>
              <w:rPr>
                <w:rFonts w:ascii="Arial" w:hAnsi="Arial" w:eastAsia="Arial" w:cs="Arial"/>
                <w:color w:val="000000"/>
                <w:position w:val="0"/>
                <w:sz w:val="20"/>
                <w:szCs w:val="20"/>
              </w:rPr>
              <w:t xml:space="preserve">.
Dies entspricht § 68a Abs 2 bis 4 EheG.</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Anders als in § 68a EheG wird hier nicht auf die Betreuung
gemeinsamer Kinder abgestellt, offenbar da ursprünglich noch davon
ausgegangen wurde, dass einer eingetragenen Partnerschaft keine
gemeinsamen Kinder entspringen können, was mittlerweile allerdings
überholt ist; sohin wird nunmehr in diesem Zusammenhang von einer
analogen Anwendbarkeit von § 68a EheG auszugehen sein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aaO, §§ 20–23 EPG Rz 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Enthält das Urteil </w:t>
            </w:r>
            <w:r>
              <w:rPr>
                <w:rFonts w:ascii="Arial" w:hAnsi="Arial" w:eastAsia="Arial" w:cs="Arial"/>
                <w:b/>
                <w:bCs/>
                <w:color w:val="000000"/>
                <w:position w:val="0"/>
                <w:sz w:val="20"/>
                <w:szCs w:val="20"/>
              </w:rPr>
              <w:t xml:space="preserve">keinen Schuldausspruch</w:t>
            </w:r>
            <w:r>
              <w:rPr>
                <w:rFonts w:ascii="Arial" w:hAnsi="Arial" w:eastAsia="Arial" w:cs="Arial"/>
                <w:color w:val="000000"/>
                <w:position w:val="0"/>
                <w:sz w:val="20"/>
                <w:szCs w:val="20"/>
              </w:rPr>
              <w:t xml:space="preserve">, so
hat der eingetragene Partner, der die Auflösung der eingetragenen
Partnerschaft verlangt hat, dem anderen Unterhalt zu gewähren, wenn
und soweit dies mit Rücksicht auf die Bedürfnisse und die
Vermögens- und Erwerbsverhältnisse beider Teile und der
unterhaltspflichtigen Verwandten des berechtigten eingetragenen
Partners der Billigkeit entspricht </w:t>
            </w:r>
            <w:r>
              <w:rPr>
                <w:rFonts w:ascii="Arial" w:hAnsi="Arial" w:eastAsia="Arial" w:cs="Arial"/>
                <w:b/>
                <w:bCs/>
                <w:color w:val="000000"/>
                <w:position w:val="0"/>
                <w:sz w:val="20"/>
                <w:szCs w:val="20"/>
              </w:rPr>
              <w:t xml:space="preserve">(§ 21 Abs 1
EPG)</w:t>
            </w:r>
            <w:r>
              <w:rPr>
                <w:rFonts w:ascii="Arial" w:hAnsi="Arial" w:eastAsia="Arial" w:cs="Arial"/>
                <w:color w:val="000000"/>
                <w:position w:val="0"/>
                <w:sz w:val="20"/>
                <w:szCs w:val="20"/>
              </w:rPr>
              <w:t xml:space="preserve">. Hier geht es also um Auflösungen aufgrund von
§ 15 Abs 2 EPG und vor allem von § 15 Abs 3 EPG
infolge einer dreijährigen Aufhebung der häuslichen Gemeinschaft.
§ 21 Abs 1 EPG entspricht insoweit § 69 Abs 3
EheG.</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Im EPG fehlt eine § 69 Abs 2 EheG vergleichbare
Bestimmung, derzufolge der geschiedene Ehegatte im Wesentlichen so
zu stellen ist, als wäre die Ehe nicht geschieden worden und ihm
auch ein Anspruch auf Ersatz der Beiträge zur freiwilligen
Versicherung in der gesetzlichen Krankenversicherung zusteht. Hier
wurde vom seinerzeitigen Gesetzgeber eine bewusste Unterscheidung
getroffen, wie den Mat zu entnehmen ist (ErläutRV 485 dB 24. GP,
13). Dies ist jedenfalls verfassungsrechtlich als bedenklich
anzusehen (vgl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aaO, §§ 20–23 EPG
Rz 9 mwN).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Schließlich hat ein eingetragener Partner mangels einer
rechtswirksamen Vereinbarung über die unterhaltsrechtlichen
Beziehungen beider Teile im Fall einer </w:t>
            </w:r>
            <w:r>
              <w:rPr>
                <w:rFonts w:ascii="Arial" w:hAnsi="Arial" w:eastAsia="Arial" w:cs="Arial"/>
                <w:b/>
                <w:bCs/>
                <w:color w:val="000000"/>
                <w:position w:val="0"/>
                <w:sz w:val="20"/>
                <w:szCs w:val="20"/>
              </w:rPr>
              <w:t xml:space="preserve">Auflösung nach
§ 15 Abs 5 EPG</w:t>
            </w:r>
            <w:r>
              <w:rPr>
                <w:rFonts w:ascii="Arial" w:hAnsi="Arial" w:eastAsia="Arial" w:cs="Arial"/>
                <w:color w:val="000000"/>
                <w:position w:val="0"/>
                <w:sz w:val="20"/>
                <w:szCs w:val="20"/>
              </w:rPr>
              <w:t xml:space="preserve"> dem anderen Unterhalt zu
gewähren, soweit dies mit Rücksicht auf die Bedürfnisse und die
Vermögens- und Erwerbsverhältnisse beider Teile und der
unterhaltspflichtigen Verwandten des berechtigten Teils der
Billigkeit entspricht </w:t>
            </w:r>
            <w:r>
              <w:rPr>
                <w:rFonts w:ascii="Arial" w:hAnsi="Arial" w:eastAsia="Arial" w:cs="Arial"/>
                <w:b/>
                <w:bCs/>
                <w:color w:val="000000"/>
                <w:position w:val="0"/>
                <w:sz w:val="20"/>
                <w:szCs w:val="20"/>
              </w:rPr>
              <w:t xml:space="preserve">(§ 21 Abs 2 S 2
EPG)</w:t>
            </w:r>
            <w:r>
              <w:rPr>
                <w:rFonts w:ascii="Arial" w:hAnsi="Arial" w:eastAsia="Arial" w:cs="Arial"/>
                <w:color w:val="000000"/>
                <w:position w:val="0"/>
                <w:sz w:val="20"/>
                <w:szCs w:val="20"/>
              </w:rPr>
              <w:t xml:space="preserve">. Auch hier ist § 20 Abs 2 EPG entsprechend
anzuwenden. § 21 Abs 2 EPG entspricht somit insoweit
§ 69a Abs 1 und 2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internationalen Causen ist, was die Frage der internationalen
Zuständigkeit für Unterhaltsstreitigkeiten anlangt, in Österreich
in erster Linie auf die Bestimmungen der </w:t>
            </w:r>
            <w:r>
              <w:rPr>
                <w:rFonts w:ascii="Arial" w:hAnsi="Arial" w:eastAsia="Arial" w:cs="Arial"/>
                <w:b/>
                <w:bCs/>
                <w:color w:val="000000"/>
                <w:position w:val="0"/>
                <w:sz w:val="20"/>
                <w:szCs w:val="20"/>
              </w:rPr>
              <w:t xml:space="preserve">EuUVO</w:t>
            </w:r>
            <w:r>
              <w:rPr>
                <w:rFonts w:ascii="Arial" w:hAnsi="Arial" w:eastAsia="Arial" w:cs="Arial"/>
                <w:color w:val="000000"/>
                <w:position w:val="0"/>
                <w:sz w:val="20"/>
                <w:szCs w:val="20"/>
              </w:rPr>
              <w:t xml:space="preserve">
Bedacht zu nehmen. Diese findet grundsätzlich Anwendung auf alle
Unterhaltspflichten, die auf einem Familien-, Verwandtschafts- oder
eherechtlichen Verhältnis oder auf Schwägerschaft beruhen
(Art 1 Abs 1 EuUVO), dh Ehegattenunterhalt während der
Ehe und nach Scheidung (EFSlg 147.343), auch Unterhaltsansprüche
gleichgeschlechtlicher Partner (</w:t>
            </w:r>
            <w:r>
              <w:rPr>
                <w:rFonts w:ascii="Arial" w:hAnsi="Arial" w:eastAsia="Arial" w:cs="Arial"/>
                <w:i/>
                <w:iCs/>
                <w:color w:val="000000"/>
                <w:position w:val="0"/>
                <w:sz w:val="20"/>
                <w:szCs w:val="20"/>
              </w:rPr>
              <w:t xml:space="preserve">Gruber</w:t>
            </w:r>
            <w:r>
              <w:rPr>
                <w:rFonts w:ascii="Arial" w:hAnsi="Arial" w:eastAsia="Arial" w:cs="Arial"/>
                <w:color w:val="000000"/>
                <w:position w:val="0"/>
                <w:sz w:val="20"/>
                <w:szCs w:val="20"/>
              </w:rPr>
              <w:t xml:space="preserve">, Die neue
EG-Unterhaltsverordnung, IPRax 2016, 128). Das
</w:t>
            </w:r>
            <w:r>
              <w:rPr>
                <w:rFonts w:ascii="Arial" w:hAnsi="Arial" w:eastAsia="Arial" w:cs="Arial"/>
                <w:b/>
                <w:bCs/>
                <w:color w:val="000000"/>
                <w:position w:val="0"/>
                <w:sz w:val="20"/>
                <w:szCs w:val="20"/>
              </w:rPr>
              <w:t xml:space="preserve">LGVÜ</w:t>
            </w:r>
            <w:r>
              <w:rPr>
                <w:rFonts w:ascii="Arial" w:hAnsi="Arial" w:eastAsia="Arial" w:cs="Arial"/>
                <w:color w:val="000000"/>
                <w:position w:val="0"/>
                <w:sz w:val="20"/>
                <w:szCs w:val="20"/>
              </w:rPr>
              <w:t xml:space="preserve"> ist in Österreich im Verhältnis zu Norwegen
(seit 01.01.2010), der Schweiz (seit 01.01.2011) und Island (seit
01.05.2011) zu beachten. Das materiell anwendbare Recht wird durch
das Haager Protokoll vom 23.11.2007 über das auf
Unterhaltspflichten anzuwendende Recht </w:t>
            </w:r>
            <w:r>
              <w:rPr>
                <w:rFonts w:ascii="Arial" w:hAnsi="Arial" w:eastAsia="Arial" w:cs="Arial"/>
                <w:b/>
                <w:bCs/>
                <w:color w:val="000000"/>
                <w:position w:val="0"/>
                <w:sz w:val="20"/>
                <w:szCs w:val="20"/>
              </w:rPr>
              <w:t xml:space="preserve">(HUP)</w:t>
            </w:r>
            <w:r>
              <w:rPr>
                <w:rFonts w:ascii="Arial" w:hAnsi="Arial" w:eastAsia="Arial" w:cs="Arial"/>
                <w:color w:val="000000"/>
                <w:position w:val="0"/>
                <w:sz w:val="20"/>
                <w:szCs w:val="20"/>
              </w:rPr>
              <w:t xml:space="preserve">
geregelt, wobei hier in erster Linie für Unterhaltspflichten das
Recht des Staates maßgebend ist, in dem die berechtigte Person
ihren gewöhnlichen Aufenthalt hat (Art 3 Abs 1 HUP).</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651373" w:name="note8"/>
            <w:bookmarkEnd w:id="2651373"/>
            <w:bookmarkStart w:id="1998230347084" w:name="note8"/>
            <w:r>
              <w:rPr>
                <w:rFonts w:ascii="Arial" w:hAnsi="Arial" w:eastAsia="Arial" w:cs="Arial"/>
                <w:b/>
                <w:bCs/>
                <w:color w:val="000000"/>
                <w:position w:val="0"/>
                <w:sz w:val="20"/>
                <w:szCs w:val="20"/>
              </w:rPr>
              <w:t xml:space="preserve">[8]</w:t>
            </w:r>
            <w:bookmarkEnd w:id="199823034708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w:t>
            </w:r>
            <w:r>
              <w:rPr>
                <w:rFonts w:ascii="Arial" w:hAnsi="Arial" w:eastAsia="Arial" w:cs="Arial"/>
                <w:b/>
                <w:bCs/>
                <w:color w:val="000000"/>
                <w:position w:val="0"/>
                <w:sz w:val="20"/>
                <w:szCs w:val="20"/>
              </w:rPr>
              <w:t xml:space="preserve">Güterrecht</w:t>
            </w:r>
            <w:r>
              <w:rPr>
                <w:rFonts w:ascii="Arial" w:hAnsi="Arial" w:eastAsia="Arial" w:cs="Arial"/>
                <w:color w:val="000000"/>
                <w:position w:val="0"/>
                <w:sz w:val="20"/>
                <w:szCs w:val="20"/>
              </w:rPr>
              <w:t xml:space="preserve"> der eingetragenen Partnerschaft
ist nach dem Recht zu beurteilen, das die Parteien ausdrücklich
bestimmen, mangels einer solchen Rechtswahl nach dem Recht des
Staates, in dem die eingetragene Partnerschaft begründet worden ist
</w:t>
            </w:r>
            <w:r>
              <w:rPr>
                <w:rFonts w:ascii="Arial" w:hAnsi="Arial" w:eastAsia="Arial" w:cs="Arial"/>
                <w:b/>
                <w:bCs/>
                <w:color w:val="000000"/>
                <w:position w:val="0"/>
                <w:sz w:val="20"/>
                <w:szCs w:val="20"/>
              </w:rPr>
              <w:t xml:space="preserve">(§ 27c IPRG)</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eingetragene Partnerschaft, außer im Fall des Todes
oder der Todeserklärung, aufgelöst oder für nichtig erklärt, so
sind das partnerschaftliche Gebrauchsvermögen (also die beweglichen
oder unbeweglichen körperlichen Sachen, die während aufrechter
Lebensgemeinschaft dem Gebrauch beider Teile gedient haben; hierzu
gehören auch der Hausrat und die gemeinsame Wohnung) und die
partnerschaftlichen Ersparnisse (Wertanlagen, gleich welcher Art,
die beide Teile während aufrechter Lebensgemeinschaft angesammelt
haben und die ihrer Art nach üblicherweise für eine Verwertung
bestimmt sind) zwischen beiden eingetragenen Partnern aufzuteilen
</w:t>
            </w:r>
            <w:r>
              <w:rPr>
                <w:rFonts w:ascii="Arial" w:hAnsi="Arial" w:eastAsia="Arial" w:cs="Arial"/>
                <w:b/>
                <w:bCs/>
                <w:color w:val="000000"/>
                <w:position w:val="0"/>
                <w:sz w:val="20"/>
                <w:szCs w:val="20"/>
              </w:rPr>
              <w:t xml:space="preserve">(§ 24 Abs 1 S 2 EPG)</w:t>
            </w:r>
            <w:r>
              <w:rPr>
                <w:rFonts w:ascii="Arial" w:hAnsi="Arial" w:eastAsia="Arial" w:cs="Arial"/>
                <w:color w:val="000000"/>
                <w:position w:val="0"/>
                <w:sz w:val="20"/>
                <w:szCs w:val="20"/>
              </w:rPr>
              <w:t xml:space="preserve">. Die
diesbezüglichen Regelungen entsprechen im Wesentlichen jenen zur
Aufteilung des ehelichen Gebrauchsvermögens und der ehelichen
Ersparnisse. Die Aufteilung ist auch hier grundsätzlich nach
</w:t>
            </w:r>
            <w:r>
              <w:rPr>
                <w:rFonts w:ascii="Arial" w:hAnsi="Arial" w:eastAsia="Arial" w:cs="Arial"/>
                <w:b/>
                <w:bCs/>
                <w:color w:val="000000"/>
                <w:position w:val="0"/>
                <w:sz w:val="20"/>
                <w:szCs w:val="20"/>
              </w:rPr>
              <w:t xml:space="preserve">Billigkeit</w:t>
            </w:r>
            <w:r>
              <w:rPr>
                <w:rFonts w:ascii="Arial" w:hAnsi="Arial" w:eastAsia="Arial" w:cs="Arial"/>
                <w:color w:val="000000"/>
                <w:position w:val="0"/>
                <w:sz w:val="20"/>
                <w:szCs w:val="20"/>
              </w:rPr>
              <w:t xml:space="preserve"> vorzunehmen (§ 26 Abs 1
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Aufteilung unterliegt grundsätzlich die
</w:t>
            </w:r>
            <w:r>
              <w:rPr>
                <w:rFonts w:ascii="Arial" w:hAnsi="Arial" w:eastAsia="Arial" w:cs="Arial"/>
                <w:b/>
                <w:bCs/>
                <w:color w:val="000000"/>
                <w:position w:val="0"/>
                <w:sz w:val="20"/>
                <w:szCs w:val="20"/>
              </w:rPr>
              <w:t xml:space="preserve">Errungenschaft</w:t>
            </w:r>
            <w:r>
              <w:rPr>
                <w:rFonts w:ascii="Arial" w:hAnsi="Arial" w:eastAsia="Arial" w:cs="Arial"/>
                <w:color w:val="000000"/>
                <w:position w:val="0"/>
                <w:sz w:val="20"/>
                <w:szCs w:val="20"/>
              </w:rPr>
              <w:t xml:space="preserve">, also das, was die Partner während
ihrer eingetragenen Partnerschaft erarbeitet oder erspart haben
(RIS-Justiz RS0057486), nicht jedoch etwa aus der Zeit vor der
Partnerschaft stammende Ersparnisse oder deren Surrogate
(RIS-Justiz RS0057349).</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Das EPG enthält keine § 87 Abs 2 EPG entsprechende
Anordnung, wonach das Gericht für die Ehewohnung, wenn sie kraft
Eigentums oder eines anderen dinglichen Rechtes eines oder beider
Ehegatten benützt wird, die Übertragung des Eigentums oder des
dinglichen Rechtes von einem auf den anderen Ehegatten oder die
Begründung eines schuldrechtlichen Rechtsverhältnisses zugunsten
eines Ehegatten anordnen kann. Hierauf ist also grundsätzlich
Vorsicht geboten, auch wenn die hA hier letztlich von einem bloßen
Redaktionsversehen ausgeht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aaO,
§§ 24–41 EPG Rz 3 mwN).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815564" w:name="note9"/>
            <w:bookmarkEnd w:id="5815564"/>
            <w:bookmarkStart w:id="2067163585886" w:name="note9"/>
            <w:r>
              <w:rPr>
                <w:rFonts w:ascii="Arial" w:hAnsi="Arial" w:eastAsia="Arial" w:cs="Arial"/>
                <w:b/>
                <w:bCs/>
                <w:color w:val="000000"/>
                <w:position w:val="0"/>
                <w:sz w:val="20"/>
                <w:szCs w:val="20"/>
              </w:rPr>
              <w:t xml:space="preserve">[9]</w:t>
            </w:r>
            <w:bookmarkEnd w:id="206716358588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Schwierigkeiten kann in der Praxis gerade in
Rechtsstreitigkeiten mit Auslandsbezug die Frage bereiten, wie eine
Klage oder ein sonstiges gerichtliches Schriftstück an die beklagte
Partei bzw einen Antragsgegner zugestellt werden soll. Die
Voraussetzungen und Wirkungen einer im Ausland vorzunehmenden
Zustellung sind grundsätzlich nach dem im Zustellstaat geltenden
Verfahrensrecht zu beurteilen (RIS-Justiz RS0119937; 6 Ob 187/23b).
Entsprechend der österr Rsp ist das Zustellwesen von der
</w:t>
            </w:r>
            <w:r>
              <w:rPr>
                <w:rFonts w:ascii="Arial" w:hAnsi="Arial" w:eastAsia="Arial" w:cs="Arial"/>
                <w:b/>
                <w:bCs/>
                <w:color w:val="000000"/>
                <w:position w:val="0"/>
                <w:sz w:val="20"/>
                <w:szCs w:val="20"/>
              </w:rPr>
              <w:t xml:space="preserve">amtswegigen Prüfpflicht</w:t>
            </w:r>
            <w:r>
              <w:rPr>
                <w:rFonts w:ascii="Arial" w:hAnsi="Arial" w:eastAsia="Arial" w:cs="Arial"/>
                <w:color w:val="000000"/>
                <w:position w:val="0"/>
                <w:sz w:val="20"/>
                <w:szCs w:val="20"/>
              </w:rPr>
              <w:t xml:space="preserve"> geprägt, dh die
Wirksamkeit von Zustellungen ist von Amts wegen zu überwachen
(§ 87 Abs 1 ZPO; RIS-Justiz RS0111270; RS0108589;
RS0036440). Das (jeweilige) Gericht hat demnach die gesetzmäßige
Zustellung selbstständig zu überprüfen (4 Ob 90/21w).</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 11 Abs 1 ZustellG</w:t>
            </w:r>
            <w:r>
              <w:rPr>
                <w:rFonts w:ascii="Arial" w:hAnsi="Arial" w:eastAsia="Arial" w:cs="Arial"/>
                <w:color w:val="000000"/>
                <w:position w:val="0"/>
                <w:sz w:val="20"/>
                <w:szCs w:val="20"/>
              </w:rPr>
              <w:t xml:space="preserve"> sind
Zustellungen im Ausland nach den bestehenden internationalen
Vereinbarungen oder allenfalls auf dem Weg, den die Gesetze oder
sonstigen Rechtsvorschriften des Staates, in dem zugestellt werden
soll, oder die internationale Übung zulassen, erforderlichenfalls
unter Mitwirkung der österreichischen Vertretungsbehörden,
vorzunehmen. Vorrangig ist daher auf bestehende multi- oder auch
bilaterale internationale Vereinbarungen zu achten.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1653507" w:name="note10"/>
            <w:bookmarkEnd w:id="31653507"/>
            <w:bookmarkStart w:id="4800422146141" w:name="note10"/>
            <w:r>
              <w:rPr>
                <w:rFonts w:ascii="Arial" w:hAnsi="Arial" w:eastAsia="Arial" w:cs="Arial"/>
                <w:b/>
                <w:bCs/>
                <w:color w:val="000000"/>
                <w:position w:val="0"/>
                <w:sz w:val="20"/>
                <w:szCs w:val="20"/>
              </w:rPr>
              <w:t xml:space="preserve">[10]</w:t>
            </w:r>
            <w:bookmarkEnd w:id="48004221461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Erst vor einigen Jahren ist nun am 12.09.2020 auch für
Österreich das </w:t>
            </w:r>
            <w:r>
              <w:rPr>
                <w:rFonts w:ascii="Arial" w:hAnsi="Arial" w:eastAsia="Arial" w:cs="Arial"/>
                <w:b/>
                <w:bCs/>
                <w:color w:val="000000"/>
                <w:position w:val="0"/>
                <w:sz w:val="20"/>
                <w:szCs w:val="20"/>
              </w:rPr>
              <w:t xml:space="preserve">Haager Übereinkommen über die Zustellung
gerichtlicher und außergerichtlicher Schriftstücke im Ausland in
Zivil‑ oder Handelssachen vom 15. November 1965</w:t>
            </w:r>
            <w:r>
              <w:rPr>
                <w:rFonts w:ascii="Arial" w:hAnsi="Arial" w:eastAsia="Arial" w:cs="Arial"/>
                <w:color w:val="000000"/>
                <w:position w:val="0"/>
                <w:sz w:val="20"/>
                <w:szCs w:val="20"/>
              </w:rPr>
              <w:t xml:space="preserve"> (in
weiterer Folge: HZÜ; BGBl III 2020/137) in Kraft getreten. Der
Volltext des Übereinkommens ist im Internet unter </w:t>
            </w:r>
            <w:hyperlink r:id="rId52916a8b93a896aec" w:history="1">
              <w:r>
                <w:rPr>
                  <w:rFonts w:ascii="Arial" w:hAnsi="Arial" w:eastAsia="Arial" w:cs="Arial"/>
                  <w:color w:val="006BB6"/>
                  <w:position w:val="0"/>
                  <w:sz w:val="20"/>
                  <w:szCs w:val="20"/>
                </w:rPr>
                <w:t xml:space="preserve">https://www.hcch.net/en/instruments/conventions/status-table/?cid=17</w:t>
              </w:r>
            </w:hyperlink>
            <w:r>
              <w:rPr>
                <w:rFonts w:ascii="Arial" w:hAnsi="Arial" w:eastAsia="Arial" w:cs="Arial"/>
                <w:color w:val="000000"/>
                <w:position w:val="0"/>
                <w:sz w:val="20"/>
                <w:szCs w:val="20"/>
              </w:rPr>
              <w:t xml:space="preserve">
abrufbar.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Sinn und Zweck des HZÜ ist entsprechend seiner Präambel, den
tatsächlichen und rechtzeitigen Empfang gerichtlicher und
außergerichtlicher Schriftstücke im Ausland durch den Empfänger
sicherzustellen und die gegenseitige Rechtshilfe durch die
Vereinfachung und Beschleunigung der Zustellungsverfahren zu
verbessern. Schriftstücke werden demnach hauptsächlich über eine
Zentrale Behörde weitergeleitet, die die Zustellung bewirkt oder
veranlasst (ErläutRV 6 dB 27. GP, 2). Darüber hinaus sieht das HZÜ
aber auch alternative Zustellungsmethoden vor, die zum Teil auch
direkt erfolgen können, sodass es nicht mehr erforderlich ist, eine
staatliche Behörde im ersuchten Vertragsstaat einzuschalten; mit
diesem neuen Übermittlungsweg sollte insbesondere die bis zur
Einführung des HZÜ überwiegend anwendbare Zustellung auf
diplomatischem und konsularischem Weg eingeschränkt werden, die
sich als kompliziert und zeitaufwändig herausstellte
(</w:t>
            </w:r>
            <w:r>
              <w:rPr>
                <w:rFonts w:ascii="Arial" w:hAnsi="Arial" w:eastAsia="Arial" w:cs="Arial"/>
                <w:i/>
                <w:iCs/>
                <w:color w:val="000000"/>
                <w:position w:val="0"/>
                <w:sz w:val="20"/>
                <w:szCs w:val="20"/>
              </w:rPr>
              <w:t xml:space="preserve">Sujecki</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Geimer/Schütze</w:t>
            </w:r>
            <w:r>
              <w:rPr>
                <w:rFonts w:ascii="Arial" w:hAnsi="Arial" w:eastAsia="Arial" w:cs="Arial"/>
                <w:color w:val="000000"/>
                <w:position w:val="0"/>
                <w:sz w:val="20"/>
                <w:szCs w:val="20"/>
              </w:rPr>
              <w:t xml:space="preserve">, Internationaler
Rechtsverkehr in Zivil- und Handelssachen, A I, Rz 3 f;
</w:t>
            </w:r>
            <w:r>
              <w:rPr>
                <w:rFonts w:ascii="Arial" w:hAnsi="Arial" w:eastAsia="Arial" w:cs="Arial"/>
                <w:i/>
                <w:iCs/>
                <w:color w:val="000000"/>
                <w:position w:val="0"/>
                <w:sz w:val="20"/>
                <w:szCs w:val="20"/>
              </w:rPr>
              <w:t xml:space="preserve">Nagel/Gottwald</w:t>
            </w:r>
            <w:r>
              <w:rPr>
                <w:rFonts w:ascii="Arial" w:hAnsi="Arial" w:eastAsia="Arial" w:cs="Arial"/>
                <w:color w:val="000000"/>
                <w:position w:val="0"/>
                <w:sz w:val="20"/>
                <w:szCs w:val="20"/>
              </w:rPr>
              <w:t xml:space="preserve">, Internationales
Zivilprozessrecht</w:t>
            </w:r>
            <w:r>
              <w:rPr>
                <w:rFonts w:ascii="Arial" w:hAnsi="Arial" w:eastAsia="Arial" w:cs="Arial"/>
                <w:color w:val="000000"/>
                <w:position w:val="3"/>
                <w:sz w:val="18"/>
                <w:szCs w:val="18"/>
                <w:vertAlign w:val="superscript"/>
              </w:rPr>
              <w:t xml:space="preserve">8</w:t>
            </w:r>
            <w:r>
              <w:rPr>
                <w:rFonts w:ascii="Arial" w:hAnsi="Arial" w:eastAsia="Arial" w:cs="Arial"/>
                <w:color w:val="000000"/>
                <w:position w:val="0"/>
                <w:sz w:val="20"/>
                <w:szCs w:val="20"/>
              </w:rPr>
              <w:t xml:space="preserve">, 2020, Rz 8.103 ff).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tritt gem Art 22 HZÜ zwischen den Staaten, die es
ratifiziert haben, an die Stelle des Haager Prozessübereinkommens
vom 1. März 1954 (HPÜ). Dem HZÜ gehen allerdings wie gesagt sowohl
Rechtsakte der Europäischen Union (ua eben die EuZVO) sowie
bilaterale Abkommen vor (vgl dazu im Folgenden). Der
Ratifikationsstand des HZÜ kann gleichfalls im Internet unter
</w:t>
            </w:r>
            <w:hyperlink r:id="rId10896a8b93a896b55" w:history="1">
              <w:r>
                <w:rPr>
                  <w:rFonts w:ascii="Arial" w:hAnsi="Arial" w:eastAsia="Arial" w:cs="Arial"/>
                  <w:color w:val="006BB6"/>
                  <w:position w:val="0"/>
                  <w:sz w:val="20"/>
                  <w:szCs w:val="20"/>
                </w:rPr>
                <w:t xml:space="preserve">https://www.hcch.net/de/instruments/conventions/status-table/?cid=17</w:t>
              </w:r>
            </w:hyperlink>
            <w:r>
              <w:rPr>
                <w:rFonts w:ascii="Arial" w:hAnsi="Arial" w:eastAsia="Arial" w:cs="Arial"/>
                <w:color w:val="000000"/>
                <w:position w:val="0"/>
                <w:sz w:val="20"/>
                <w:szCs w:val="20"/>
              </w:rPr>
              <w:t xml:space="preserve">
ersehen werden. Anwendbar ist das Übereinkommen also immer dann,
wenn nach dem Recht des ersuchenden Staates ein gerichtliches oder
außergerichtliches Schriftstück zum Zwecke der Zustellung in einen
anderen Vertragsstaat zu übermitteln ist (ErläutRV 6 dB 27. GP,
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System des HZÜ haben die Vertragsstaaten zunächst eine
</w:t>
            </w:r>
            <w:r>
              <w:rPr>
                <w:rFonts w:ascii="Arial" w:hAnsi="Arial" w:eastAsia="Arial" w:cs="Arial"/>
                <w:b/>
                <w:bCs/>
                <w:color w:val="000000"/>
                <w:position w:val="0"/>
                <w:sz w:val="20"/>
                <w:szCs w:val="20"/>
              </w:rPr>
              <w:t xml:space="preserve">„Zentrale Behörde“</w:t>
            </w:r>
            <w:r>
              <w:rPr>
                <w:rFonts w:ascii="Arial" w:hAnsi="Arial" w:eastAsia="Arial" w:cs="Arial"/>
                <w:color w:val="000000"/>
                <w:position w:val="0"/>
                <w:sz w:val="20"/>
                <w:szCs w:val="20"/>
              </w:rPr>
              <w:t xml:space="preserve"> zu bestimmen und zu benennen,
über die der regelmäßige Übermittlungsweg führt (Art 2 HZÜ).
Diese Zentrale Behörde hat die Aufgabe, Zustellungsersuchen aus
anderen Vertragsstaaten entgegenzunehmen, die Zustellung der
Schriftstücke an den Empfänger zu bewirken oder zu veranlassen und
das Zustellungszeugnis zu übermitteln oder für dessen Übermittlung
zu sorgen (ErläutRV 6 dB 27. GP, 4). Durch den Weg über eine
Zentrale Behörde wird der konsularische Übermittlungsweg, den das
HPÜ noch als Regel vorgesehen hat, weitgehend ersetzt, wodurch
grenzüberschreitende Zustellungen schneller und effektiver werden,
einen direkten Behördenverkehr, wie ihn die EuZVO als Regel
vorsieht, kennt das HZÜ allerdings (ErläutRV 6 dB 27. GP, 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Zustellung des Schriftstücks wird dann von der Zentralen
Behörde des ersuchten Staates bewirkt oder veranlasst (Art 5
HZÜ), und zwar</w:t>
            </w:r>
          </w:p>
          <w:p>
            <w:pPr>
              <w:numPr>
                <w:ilvl w:val="0"/>
                <w:numId w:val="25112401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entweder in einer der Formen, die das Recht des ersuchten
Staates für die Zustellung der in seinem Hoheitsgebiet
ausgestellten Schriftstücke an dort befindliche Personen
vorschreibt;</w:t>
            </w:r>
          </w:p>
          <w:p>
            <w:pPr>
              <w:numPr>
                <w:ilvl w:val="0"/>
                <w:numId w:val="25112401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oder in einer besonderen, von der ersuchenden Stelle
gewünschten Form, es sei denn, dass diese Form mit dem Recht des
ersuchten Staates unvereinbar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sieht weiters </w:t>
            </w:r>
            <w:r>
              <w:rPr>
                <w:rFonts w:ascii="Arial" w:hAnsi="Arial" w:eastAsia="Arial" w:cs="Arial"/>
                <w:b/>
                <w:bCs/>
                <w:color w:val="000000"/>
                <w:position w:val="0"/>
                <w:sz w:val="20"/>
                <w:szCs w:val="20"/>
              </w:rPr>
              <w:t xml:space="preserve">einheitliche Formulare</w:t>
            </w:r>
            <w:r>
              <w:rPr>
                <w:rFonts w:ascii="Arial" w:hAnsi="Arial" w:eastAsia="Arial" w:cs="Arial"/>
                <w:color w:val="000000"/>
                <w:position w:val="0"/>
                <w:sz w:val="20"/>
                <w:szCs w:val="20"/>
              </w:rPr>
              <w:t xml:space="preserve">
für den Zustellungsantrag und das Zustellungszeugnis (Art 6
HZÜ) vor, das von der Behörde im ersuchten Staat ausgestellt wird.
Das </w:t>
            </w:r>
            <w:r>
              <w:rPr>
                <w:rFonts w:ascii="Arial" w:hAnsi="Arial" w:eastAsia="Arial" w:cs="Arial"/>
                <w:b/>
                <w:bCs/>
                <w:color w:val="000000"/>
                <w:position w:val="0"/>
                <w:sz w:val="20"/>
                <w:szCs w:val="20"/>
              </w:rPr>
              <w:t xml:space="preserve">Zustellzeugnis</w:t>
            </w:r>
            <w:r>
              <w:rPr>
                <w:rFonts w:ascii="Arial" w:hAnsi="Arial" w:eastAsia="Arial" w:cs="Arial"/>
                <w:color w:val="000000"/>
                <w:position w:val="0"/>
                <w:sz w:val="20"/>
                <w:szCs w:val="20"/>
              </w:rPr>
              <w:t xml:space="preserve"> enthält die Angaben über die
Erledigung des Ersuchens; in ihm sind Form, Ort und Zeit der
Erledigung sowie die Person anzugeben, der das Schriftstück
übergeben worden ist; gegebenenfalls sind die Umstände anzuführen,
welche die Erledigung verhindert haben (6 Ob 187/23b).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Zustellung richtet sich daher im vorliegenden Fall nach dem
HZÜ und erfolgt grundsätzlich über eine – von jedem Vertragsstaat
einzurichtende – Zentrale Behörde (in Österreich das
Bundesministerium für Justiz). Diese hat die Ersuchen um Zustellung
aus anderen Vertragsstaaten entgegenzunehmen und das Erforderliche
zu veranlassen (Art 2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also die förmliche Zustellung nach Art 5 Abs 1
Z 1 lit a HZÜ durch die ersuchende Behörde gewählt, dann
erfolgt die Zustellung des Schriftstücks in einer Form, die das
Recht des ersuchten Vertragsstaats für Inlandszustellungen
vorschreibt – in diesem Fall können somit alle Zustellungsmethoden,
die im ersuchten Vertragsstaat gelten, für die Zustellung genutzt
werden (6 Ob 187/23b).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Art 5 HZÜ kann auch ein </w:t>
            </w:r>
            <w:r>
              <w:rPr>
                <w:rFonts w:ascii="Arial" w:hAnsi="Arial" w:eastAsia="Arial" w:cs="Arial"/>
                <w:b/>
                <w:bCs/>
                <w:color w:val="000000"/>
                <w:position w:val="0"/>
                <w:sz w:val="20"/>
                <w:szCs w:val="20"/>
              </w:rPr>
              <w:t xml:space="preserve">fremdsprachiges
Schriftstück</w:t>
            </w:r>
            <w:r>
              <w:rPr>
                <w:rFonts w:ascii="Arial" w:hAnsi="Arial" w:eastAsia="Arial" w:cs="Arial"/>
                <w:color w:val="000000"/>
                <w:position w:val="0"/>
                <w:sz w:val="20"/>
                <w:szCs w:val="20"/>
              </w:rPr>
              <w:t xml:space="preserve"> zugestellt werden; einen Ausgleich für die
fehlende Übersetzung der zuzustellenden Schriftstücke in die
Sprache der ersuchten Behörde sieht allerdings Art 5
Abs 4 HZÜ vor, der iVm Art 7 Abs 2 HZÜ regelt, dass
nach dem Muster des Ersuchens der wesentliche Inhalt der
zuzustellenden Schriftstücke in englischer oder französischer
Sprache oder in (einer) der Amtssprache(n) des ersuchten Staates
wiederzugeben und dem Empfänger auszuhändigen ist (ErläutRV 6 dB
27. GP, 5). Damit jeder Staat Nachteile aus dieser Regelung für die
in seinem Gebiet wohnenden Zustellungsempfänger vermeiden kann,
gibt Art 5 Abs 3 HZÜ den Zentralen Behörden die Befugnis
zu verlangen, dass das zuzustellende Schriftstück, wenn es förmlich
zugestellt werden soll, in der Amtssprache oder einer der
Amtssprachen des ersuchten Staates abgefasst oder in diese
übersetzt ist (ErläutRV 6 dB 27. GP, 6). Österreich hat aus Anlass
der Ratifikation erklärt, dass es nur deutsche oder von einer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in die deutsche Sprache begleitete
Schriftstücke förmlich zustellt (ErläutRV 6 dB 27. GP, 6); ob auch
andere Staaten derartige Erklärungen abgegeben haben, kann
gleichfalls im Internet unter </w:t>
            </w:r>
            <w:hyperlink r:id="rId63196a8b93a896c2b" w:history="1">
              <w:r>
                <w:rPr>
                  <w:rFonts w:ascii="Arial" w:hAnsi="Arial" w:eastAsia="Arial" w:cs="Arial"/>
                  <w:color w:val="006BB6"/>
                  <w:position w:val="0"/>
                  <w:sz w:val="20"/>
                  <w:szCs w:val="20"/>
                </w:rPr>
                <w:t xml:space="preserve">https://www.hcch.net/de/instruments/conventions/status-table/?cid=17</w:t>
              </w:r>
            </w:hyperlink>
            <w:r>
              <w:rPr>
                <w:rFonts w:ascii="Arial" w:hAnsi="Arial" w:eastAsia="Arial" w:cs="Arial"/>
                <w:color w:val="000000"/>
                <w:position w:val="0"/>
                <w:sz w:val="20"/>
                <w:szCs w:val="20"/>
              </w:rPr>
              <w:t xml:space="preserve">
ersehen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Art 6 Abs 1 HZÜ wird dann die Zustellung bzw die
nicht erfolgte Zustellung mithilfe eines Zustellungszeugnisses der
Zentralen Behörde des ersuchten Staats oder jeder von dieser hierzu
bestimmten Behörde dokumentiert (6 Ob 187/23b). Dabei ist im
Zustellungszeugnis insbesondere festzuhalten, ob die Zustellung
ausgeführt werden konnte oder ob die Ausführung der Zustellung
nicht möglich war (</w:t>
            </w:r>
            <w:r>
              <w:rPr>
                <w:rFonts w:ascii="Arial" w:hAnsi="Arial" w:eastAsia="Arial" w:cs="Arial"/>
                <w:i/>
                <w:iCs/>
                <w:color w:val="000000"/>
                <w:position w:val="0"/>
                <w:sz w:val="20"/>
                <w:szCs w:val="20"/>
              </w:rPr>
              <w:t xml:space="preserve">Sujecki</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Geimer/Schütze</w:t>
            </w:r>
            <w:r>
              <w:rPr>
                <w:rFonts w:ascii="Arial" w:hAnsi="Arial" w:eastAsia="Arial" w:cs="Arial"/>
                <w:color w:val="000000"/>
                <w:position w:val="0"/>
                <w:sz w:val="20"/>
                <w:szCs w:val="20"/>
              </w:rPr>
              <w:t xml:space="preserve">,
Internationaler Rechtsverkehr in Zivil- und Handelssachen,
Art 6 HZÜ Rz 5; vgl auch </w:t>
            </w:r>
            <w:r>
              <w:rPr>
                <w:rFonts w:ascii="Arial" w:hAnsi="Arial" w:eastAsia="Arial" w:cs="Arial"/>
                <w:i/>
                <w:iCs/>
                <w:color w:val="000000"/>
                <w:position w:val="0"/>
                <w:sz w:val="20"/>
                <w:szCs w:val="20"/>
              </w:rPr>
              <w:t xml:space="preserve">Wieczorek/Schütze</w:t>
            </w:r>
            <w:r>
              <w:rPr>
                <w:rFonts w:ascii="Arial" w:hAnsi="Arial" w:eastAsia="Arial" w:cs="Arial"/>
                <w:color w:val="000000"/>
                <w:position w:val="0"/>
                <w:sz w:val="20"/>
                <w:szCs w:val="20"/>
              </w:rPr>
              <w:t xml:space="preserve">,
Zivilprozessordnung</w:t>
            </w:r>
            <w:r>
              <w:rPr>
                <w:rFonts w:ascii="Arial" w:hAnsi="Arial" w:eastAsia="Arial" w:cs="Arial"/>
                <w:color w:val="000000"/>
                <w:position w:val="3"/>
                <w:sz w:val="18"/>
                <w:szCs w:val="18"/>
                <w:vertAlign w:val="superscript"/>
              </w:rPr>
              <w:t xml:space="preserve">4</w:t>
            </w:r>
            <w:r>
              <w:rPr>
                <w:rFonts w:ascii="Arial" w:hAnsi="Arial" w:eastAsia="Arial" w:cs="Arial"/>
                <w:color w:val="000000"/>
                <w:position w:val="0"/>
                <w:sz w:val="20"/>
                <w:szCs w:val="20"/>
              </w:rPr>
              <w:t xml:space="preserve">, 2013, Art 6 HZÜ 548). Die
Ausstellung eines solchen Zustellungszeugnisses ist jedoch nicht
zwingend vorgeschrieben (6 Ob 187/23b). Es reicht aus, wenn die
Angaben des im Anhang zum HZÜ enthaltenen Musters – Anlage 1 –
wiedergegeben werden (</w:t>
            </w:r>
            <w:r>
              <w:rPr>
                <w:rFonts w:ascii="Arial" w:hAnsi="Arial" w:eastAsia="Arial" w:cs="Arial"/>
                <w:i/>
                <w:iCs/>
                <w:color w:val="000000"/>
                <w:position w:val="0"/>
                <w:sz w:val="20"/>
                <w:szCs w:val="20"/>
              </w:rPr>
              <w:t xml:space="preserve">Sujecki</w:t>
            </w:r>
            <w:r>
              <w:rPr>
                <w:rFonts w:ascii="Arial" w:hAnsi="Arial" w:eastAsia="Arial" w:cs="Arial"/>
                <w:color w:val="000000"/>
                <w:position w:val="0"/>
                <w:sz w:val="20"/>
                <w:szCs w:val="20"/>
              </w:rPr>
              <w:t xml:space="preserve">, aaO, Art 6 HZÜ
Rz 4).</w:t>
            </w:r>
            <w:r>
              <w:rPr>
                <w:rFonts w:ascii="Arial" w:hAnsi="Arial" w:eastAsia="Arial" w:cs="Arial"/>
                <w:color w:val="000000"/>
                <w:position w:val="0"/>
                <w:sz w:val="20"/>
                <w:szCs w:val="20"/>
              </w:rPr>
              <w:br/>
              <w:t xml:space="preserve"> </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Es ist im HZÜ selbst nicht näher geregelt, unter welchen
Voraussetzungen eine Zustellung letztendlich als ordnungsgemäß
ausgeführt gilt (</w:t>
            </w:r>
            <w:r>
              <w:rPr>
                <w:rFonts w:ascii="Arial" w:hAnsi="Arial" w:eastAsia="Arial" w:cs="Arial"/>
                <w:i/>
                <w:iCs/>
                <w:color w:val="277DB9"/>
                <w:position w:val="0"/>
                <w:sz w:val="20"/>
                <w:szCs w:val="20"/>
              </w:rPr>
              <w:t xml:space="preserve">Sujecki</w:t>
            </w:r>
            <w:r>
              <w:rPr>
                <w:rFonts w:ascii="Arial" w:hAnsi="Arial" w:eastAsia="Arial" w:cs="Arial"/>
                <w:color w:val="277DB9"/>
                <w:position w:val="0"/>
                <w:sz w:val="20"/>
                <w:szCs w:val="20"/>
              </w:rPr>
              <w:t xml:space="preserve">, aaO, Art 5 HZÜ Rz 4).
Eine Bindung des prozessführenden Gerichts an Feststellungen oder
die rechtliche Beurteilung in einem Zustellungszeugnis ist sohin
nicht ableitbar. Welche Wirkung dem nach Art 6 HZÜ
ausgestellten Zustellungszeugnis (und den mitübermittelten
Dokumenten) zukommt, bestimmt sich damit nach dem Recht des
ersuchenden Vertragsstaats (RIS-Justiz RS0134713). Ein
Zustellungszeugnis kann damit aber einer nicht ordnungsgemäßen
Zustellung auch keine Wirksamkeit verleihen (RIS-Justiz RS0134713).
Vielmehr geht von ihm (nur) die Vermutung aus, dass die Zustellung
ordnungsgemäß durchgeführt wurde, sodass das Gerichtsverfahren im
Ausland fortgeführt werden kann; umgekehrt macht das Fehlen eines
Zustellungszeugnisses oder die hier erteilte Mitteilung im
Zustellungszeugnis, das Ersuchen habe nicht erfüllt werden können,
eine den Zustellungsvoraussetzungen entsprechende – und somit
wirksame – Zustellung nicht unwirksam (6 Ob 187/23b). Infolge
Amtswegigkeit der Zustellung sind allfällige Unrichtigkeiten in der
Beurkundung von Amts wegen zu erheben und zu beachten (RIS-Justiz
RS0036440). Es obliegt im Ergebnis also dem verfahrensführenden
Gericht die Überprüfung des Zustellvorgangs (6 Ob 187/23b). Gem
§ 106 Abs 1 ZPO sind Klagen mit Zustellnachweis
zuzustellen, wobei bei der Zustellung im Ausland durch Behörden des
Zustellstaats die Einhaltung jener Vorschriften genügt, die das
Recht dieses Staats für die Zustellung entsprechender Schriftstücke
vorsieht; das gilt allerdings nicht, wenn die Anwendung dieser
Vorschriften mit Art 6 EMRK unvereinbar wäre. Ins Ausland wird
nach den internationalen Vereinbarungen (wie dem HZÜ) zugestellt
(</w:t>
            </w:r>
            <w:r>
              <w:rPr>
                <w:rFonts w:ascii="Arial" w:hAnsi="Arial" w:eastAsia="Arial" w:cs="Arial"/>
                <w:i/>
                <w:iCs/>
                <w:color w:val="277DB9"/>
                <w:position w:val="0"/>
                <w:sz w:val="20"/>
                <w:szCs w:val="20"/>
              </w:rPr>
              <w:t xml:space="preserve">Nagel/Gottwald</w:t>
            </w:r>
            <w:r>
              <w:rPr>
                <w:rFonts w:ascii="Arial" w:hAnsi="Arial" w:eastAsia="Arial" w:cs="Arial"/>
                <w:color w:val="277DB9"/>
                <w:position w:val="0"/>
                <w:sz w:val="20"/>
                <w:szCs w:val="20"/>
              </w:rPr>
              <w:t xml:space="preserve">, Internationales
Zivilprozessrecht</w:t>
            </w:r>
            <w:r>
              <w:rPr>
                <w:rFonts w:ascii="Arial" w:hAnsi="Arial" w:eastAsia="Arial" w:cs="Arial"/>
                <w:color w:val="277DB9"/>
                <w:position w:val="3"/>
                <w:sz w:val="18"/>
                <w:szCs w:val="18"/>
                <w:vertAlign w:val="superscript"/>
              </w:rPr>
              <w:t xml:space="preserve">8</w:t>
            </w:r>
            <w:r>
              <w:rPr>
                <w:rFonts w:ascii="Arial" w:hAnsi="Arial" w:eastAsia="Arial" w:cs="Arial"/>
                <w:color w:val="277DB9"/>
                <w:position w:val="0"/>
                <w:sz w:val="20"/>
                <w:szCs w:val="20"/>
              </w:rPr>
              <w:t xml:space="preserve">, 2020, Rz 8.128). Die
Voraussetzungen einer wirksamen Zustellung bei der
Behördenzustellung (also im Rechtshilfeweg) im Ausland richten sich
nach § 106 Abs 2 ZPO alternativ nach österr oder nach
fremdem Recht (letzteres im Rahmen des ordre public); entweder
müssen die Zustellnormen des Zustellstaats oder die des
österreichischen Zustellrechts (für sich zur Gänze) erfüllt sein
(RIS-Justiz RS0119937; 1 Ob 41/18p). Was also Zustellungen nach
österr Recht anlangt, ist auf die diesbezüglichen Bestimmungen des
ZustellG Bedacht zu nehmen.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Anwendungsbereich des HZÜ sind darüber hinaus auch
</w:t>
            </w:r>
            <w:r>
              <w:rPr>
                <w:rFonts w:ascii="Arial" w:hAnsi="Arial" w:eastAsia="Arial" w:cs="Arial"/>
                <w:b/>
                <w:bCs/>
                <w:color w:val="000000"/>
                <w:position w:val="0"/>
                <w:sz w:val="20"/>
                <w:szCs w:val="20"/>
              </w:rPr>
              <w:t xml:space="preserve">andere Zustellwege</w:t>
            </w:r>
            <w:r>
              <w:rPr>
                <w:rFonts w:ascii="Arial" w:hAnsi="Arial" w:eastAsia="Arial" w:cs="Arial"/>
                <w:color w:val="000000"/>
                <w:position w:val="0"/>
                <w:sz w:val="20"/>
                <w:szCs w:val="20"/>
              </w:rPr>
              <w:t xml:space="preserve"> möglich: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 steht es jedem Vertragsstaat frei, den </w:t>
            </w:r>
            <w:r>
              <w:rPr>
                <w:rFonts w:ascii="Arial" w:hAnsi="Arial" w:eastAsia="Arial" w:cs="Arial"/>
                <w:b/>
                <w:bCs/>
                <w:color w:val="000000"/>
                <w:position w:val="0"/>
                <w:sz w:val="20"/>
                <w:szCs w:val="20"/>
              </w:rPr>
              <w:t xml:space="preserve">konsularischen
Weg</w:t>
            </w:r>
            <w:r>
              <w:rPr>
                <w:rFonts w:ascii="Arial" w:hAnsi="Arial" w:eastAsia="Arial" w:cs="Arial"/>
                <w:color w:val="000000"/>
                <w:position w:val="0"/>
                <w:sz w:val="20"/>
                <w:szCs w:val="20"/>
              </w:rPr>
              <w:t xml:space="preserve"> zu benutzen, um gerichtliche Schriftstücke zum Zweck
der Zustellung den Behörden eines anderen Vertragsstaats, die
dieser hierfür bestimmt hat, zu übermitteln (Art 8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außergewöhnliche Umstände dies erfordern, kann jeder
Vertragsstaat zu demselben Zweck auch den </w:t>
            </w:r>
            <w:r>
              <w:rPr>
                <w:rFonts w:ascii="Arial" w:hAnsi="Arial" w:eastAsia="Arial" w:cs="Arial"/>
                <w:b/>
                <w:bCs/>
                <w:color w:val="000000"/>
                <w:position w:val="0"/>
                <w:sz w:val="20"/>
                <w:szCs w:val="20"/>
              </w:rPr>
              <w:t xml:space="preserve">diplomatischen
Weg</w:t>
            </w:r>
            <w:r>
              <w:rPr>
                <w:rFonts w:ascii="Arial" w:hAnsi="Arial" w:eastAsia="Arial" w:cs="Arial"/>
                <w:color w:val="000000"/>
                <w:position w:val="0"/>
                <w:sz w:val="20"/>
                <w:szCs w:val="20"/>
              </w:rPr>
              <w:t xml:space="preserve"> benutzen (Art 9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schließt allerdings, sofern der Bestimmungsstaat keinen
Widerspruch dazu erklärt hat, auch nicht aus </w:t>
            </w:r>
            <w:r>
              <w:rPr>
                <w:rFonts w:ascii="Arial" w:hAnsi="Arial" w:eastAsia="Arial" w:cs="Arial"/>
                <w:b/>
                <w:bCs/>
                <w:color w:val="000000"/>
                <w:position w:val="0"/>
                <w:sz w:val="20"/>
                <w:szCs w:val="20"/>
              </w:rPr>
              <w:t xml:space="preserve">(Art 10
HZÜ)</w:t>
            </w:r>
            <w:r>
              <w:rPr>
                <w:rFonts w:ascii="Arial" w:hAnsi="Arial" w:eastAsia="Arial" w:cs="Arial"/>
                <w:color w:val="000000"/>
                <w:position w:val="0"/>
                <w:sz w:val="20"/>
                <w:szCs w:val="20"/>
              </w:rPr>
              <w:t xml:space="preserve">, dass</w:t>
            </w:r>
          </w:p>
          <w:p>
            <w:pPr>
              <w:numPr>
                <w:ilvl w:val="0"/>
                <w:numId w:val="858621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gerichtliche Schriftstücke im Ausland befindlichen Personen
unmittelbar durch die </w:t>
            </w:r>
            <w:r>
              <w:rPr>
                <w:rFonts w:ascii="Arial" w:hAnsi="Arial" w:eastAsia="Arial" w:cs="Arial"/>
                <w:b/>
                <w:bCs/>
                <w:color w:val="000000"/>
                <w:position w:val="0"/>
                <w:sz w:val="20"/>
                <w:szCs w:val="20"/>
              </w:rPr>
              <w:t xml:space="preserve">Post</w:t>
            </w:r>
            <w:r>
              <w:rPr>
                <w:rFonts w:ascii="Arial" w:hAnsi="Arial" w:eastAsia="Arial" w:cs="Arial"/>
                <w:color w:val="000000"/>
                <w:position w:val="0"/>
                <w:sz w:val="20"/>
                <w:szCs w:val="20"/>
              </w:rPr>
              <w:t xml:space="preserve"> übersandt werden
dürfen;</w:t>
            </w:r>
          </w:p>
          <w:p>
            <w:pPr>
              <w:numPr>
                <w:ilvl w:val="0"/>
                <w:numId w:val="8586211"/>
              </w:numPr>
              <w:spacing w:before="0" w:after="0" w:line="288" w:lineRule="auto"/>
              <w:jc w:val="left"/>
              <w:rPr>
                <w:rFonts w:ascii="Arial" w:hAnsi="Arial" w:eastAsia="Arial" w:cs="Arial"/>
                <w:color w:val="000000"/>
                <w:sz w:val="20"/>
                <w:szCs w:val="20"/>
              </w:rPr>
            </w:pPr>
            <w:r>
              <w:rPr>
                <w:rFonts w:ascii="Arial" w:hAnsi="Arial" w:eastAsia="Arial" w:cs="Arial"/>
                <w:b/>
                <w:bCs/>
                <w:color w:val="000000"/>
                <w:position w:val="0"/>
                <w:sz w:val="20"/>
                <w:szCs w:val="20"/>
              </w:rPr>
              <w:t xml:space="preserve">Justizbeamte</w:t>
            </w:r>
            <w:r>
              <w:rPr>
                <w:rFonts w:ascii="Arial" w:hAnsi="Arial" w:eastAsia="Arial" w:cs="Arial"/>
                <w:color w:val="000000"/>
                <w:position w:val="0"/>
                <w:sz w:val="20"/>
                <w:szCs w:val="20"/>
              </w:rPr>
              <w:t xml:space="preserve">, andere Beamte oder sonst
zuständige Personen des Ursprungsstaats Zustellungen unmittelbar
durch Justizbeamte, andere Beamte oder sonst zuständige Personen
des Bestimmungsstaats bewirken lassen dürfen;</w:t>
            </w:r>
          </w:p>
          <w:p>
            <w:pPr>
              <w:numPr>
                <w:ilvl w:val="0"/>
                <w:numId w:val="858621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jeder an einem gerichtlichen Verfahren Beteiligte Zustellungen
gerichtlicher Schriftstücke </w:t>
            </w:r>
            <w:r>
              <w:rPr>
                <w:rFonts w:ascii="Arial" w:hAnsi="Arial" w:eastAsia="Arial" w:cs="Arial"/>
                <w:b/>
                <w:bCs/>
                <w:color w:val="000000"/>
                <w:position w:val="0"/>
                <w:sz w:val="20"/>
                <w:szCs w:val="20"/>
              </w:rPr>
              <w:t xml:space="preserve">unmittelbar</w:t>
            </w:r>
            <w:r>
              <w:rPr>
                <w:rFonts w:ascii="Arial" w:hAnsi="Arial" w:eastAsia="Arial" w:cs="Arial"/>
                <w:color w:val="000000"/>
                <w:position w:val="0"/>
                <w:sz w:val="20"/>
                <w:szCs w:val="20"/>
              </w:rPr>
              <w:t xml:space="preserve"> durch
Justizbeamte, andere Beamte oder sonst zuständige Personen des
Bestimmungsstaats bewirken lassen darf.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Was die direkte Postzustellung gem Art 10 lit a HZÜ
angeht, haben allerdings mehr als 30 Staaten einen
</w:t>
            </w:r>
            <w:r>
              <w:rPr>
                <w:rFonts w:ascii="Arial" w:hAnsi="Arial" w:eastAsia="Arial" w:cs="Arial"/>
                <w:b/>
                <w:bCs/>
                <w:color w:val="000000"/>
                <w:position w:val="0"/>
                <w:sz w:val="20"/>
                <w:szCs w:val="20"/>
              </w:rPr>
              <w:t xml:space="preserve">Widerspruch</w:t>
            </w:r>
            <w:r>
              <w:rPr>
                <w:rFonts w:ascii="Arial" w:hAnsi="Arial" w:eastAsia="Arial" w:cs="Arial"/>
                <w:color w:val="000000"/>
                <w:position w:val="0"/>
                <w:sz w:val="20"/>
                <w:szCs w:val="20"/>
              </w:rPr>
              <w:t xml:space="preserve"> eingebracht, darunter insbesondere
zahlreiche europäische Staaten (Bulgarien, Deutschland,
Griechenland, Kroatien, Litauen, Malta, Mazedonien, Moldau, Monaco,
Montenegro, Norwegen, Polen, San Marino, Schweiz, Serbien,
Slowakei, Tschechien, Ungarn); auch von Österreich wurde ein
Widerspruch erklärt (ErläutRV 6 dB 27. GP, 9). Ob von Seiten eines
Staates ein entsprechender Widerspruch erklärt wurde, lässt sich
gleichfalls anhand der im Internet unter </w:t>
            </w:r>
            <w:hyperlink r:id="rId59256a8b93a896dc4" w:history="1">
              <w:r>
                <w:rPr>
                  <w:rFonts w:ascii="Arial" w:hAnsi="Arial" w:eastAsia="Arial" w:cs="Arial"/>
                  <w:color w:val="006BB6"/>
                  <w:position w:val="0"/>
                  <w:sz w:val="20"/>
                  <w:szCs w:val="20"/>
                </w:rPr>
                <w:t xml:space="preserve">https://www.hcch.net/en/instruments/conventions/status-table/?cid=17</w:t>
              </w:r>
            </w:hyperlink>
            <w:r>
              <w:rPr>
                <w:rFonts w:ascii="Arial" w:hAnsi="Arial" w:eastAsia="Arial" w:cs="Arial"/>
                <w:color w:val="000000"/>
                <w:position w:val="0"/>
                <w:sz w:val="20"/>
                <w:szCs w:val="20"/>
              </w:rPr>
              <w:t xml:space="preserve">
einsehbaren Länderübersicht erkennen.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enthält aber wie gesagt jedenfalls keine näheren
Regelungen darüber, unter welchen Voraussetzungen eine Zustellung
letztendlich als ordnungsgemäß ausgeführt gilt. Es bezweckt vor
allem, die gegenseitige Rechtshilfe durch Vereinfachung und
Beschleunigung der Zustellverfahren zu verbessern (RIS-Justiz
RS0134713).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Art 15 Abs 2 HZÜ</w:t>
            </w:r>
            <w:r>
              <w:rPr>
                <w:rFonts w:ascii="Arial" w:hAnsi="Arial" w:eastAsia="Arial" w:cs="Arial"/>
                <w:color w:val="000000"/>
                <w:position w:val="0"/>
                <w:sz w:val="20"/>
                <w:szCs w:val="20"/>
              </w:rPr>
              <w:t xml:space="preserve"> ist in gewissen
Fällen eine </w:t>
            </w:r>
            <w:r>
              <w:rPr>
                <w:rFonts w:ascii="Arial" w:hAnsi="Arial" w:eastAsia="Arial" w:cs="Arial"/>
                <w:b/>
                <w:bCs/>
                <w:color w:val="000000"/>
                <w:position w:val="0"/>
                <w:sz w:val="20"/>
                <w:szCs w:val="20"/>
              </w:rPr>
              <w:t xml:space="preserve">Fortsetzung des Verfahrens</w:t>
            </w:r>
            <w:r>
              <w:rPr>
                <w:rFonts w:ascii="Arial" w:hAnsi="Arial" w:eastAsia="Arial" w:cs="Arial"/>
                <w:color w:val="000000"/>
                <w:position w:val="0"/>
                <w:sz w:val="20"/>
                <w:szCs w:val="20"/>
              </w:rPr>
              <w:t xml:space="preserve"> bzw
Entscheidung über den Rechtsstreit auch möglich, wenn ein Zeugnis
über die Zustellung oder die Übergabe nicht eingegangen ist,
vorausgesetzt es wurde von Seiten des Vertragsstaates eine
entsprechende Erklärung abgegeben. Österreich hat eine
entsprechende Erklärung nach Art 15 Abs 2 HZÜ abgegeben
(vgl </w:t>
            </w:r>
            <w:hyperlink r:id="rId79026a8b93a896e10" w:history="1">
              <w:r>
                <w:rPr>
                  <w:rFonts w:ascii="Arial" w:hAnsi="Arial" w:eastAsia="Arial" w:cs="Arial"/>
                  <w:color w:val="006BB6"/>
                  <w:position w:val="0"/>
                  <w:sz w:val="20"/>
                  <w:szCs w:val="20"/>
                </w:rPr>
                <w:t xml:space="preserve">https://www.hcch.net/en/instruments/conventions/status-table/notifications/?csid=1425&amp;disp=resdn</w:t>
              </w:r>
            </w:hyperlink>
            <w:r>
              <w:rPr>
                <w:rFonts w:ascii="Arial" w:hAnsi="Arial" w:eastAsia="Arial" w:cs="Arial"/>
                <w:color w:val="000000"/>
                <w:position w:val="0"/>
                <w:sz w:val="20"/>
                <w:szCs w:val="20"/>
              </w:rPr>
              <w:t xml:space="preserve">
und Einführungserlass BMJ vom 10.9.2020). Liegen die
Voraussetzungen nach Art 15 Abs 2 HZÜ vor, führt dies zur
Beseitigung der Aussetzung des Verfahrens nach Art 15
Abs 1 HZÜ, sodass auch ohne Zustellnachweis mit dem Verfahren
fortgefahren werden kann, dies selbst auch in dem Fall, dass die
beklagte Partei das zuzustellende (verfahrenseinleitende)
Schriftstück tatsächlich nicht erhalten hätte. Die beklagte Partei
wird in diesem Fall mit allfälligen Einwendungen darüber, das
verfahrenseinleitende Schriftstück nicht oder nicht rechtzeitig
erhalten zu haben, auf das Anerkennungs- bzw
Vollstreckungsverfahren verwiesen (vgl </w:t>
            </w:r>
            <w:r>
              <w:rPr>
                <w:rFonts w:ascii="Arial" w:hAnsi="Arial" w:eastAsia="Arial" w:cs="Arial"/>
                <w:i/>
                <w:iCs/>
                <w:color w:val="000000"/>
                <w:position w:val="0"/>
                <w:sz w:val="20"/>
                <w:szCs w:val="20"/>
              </w:rPr>
              <w:t xml:space="preserve">Geimer/Schütze</w:t>
            </w:r>
            <w:r>
              <w:rPr>
                <w:rFonts w:ascii="Arial" w:hAnsi="Arial" w:eastAsia="Arial" w:cs="Arial"/>
                <w:color w:val="000000"/>
                <w:position w:val="0"/>
                <w:sz w:val="20"/>
                <w:szCs w:val="20"/>
              </w:rPr>
              <w:t xml:space="preserve">,
Internationaler Rechtsverkehr in Zivil- und Handelssachen,
Art 15 HZÜ Rz 13).</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9559225" w:name="note11"/>
            <w:bookmarkEnd w:id="89559225"/>
            <w:bookmarkStart w:id="2676025514563" w:name="note11"/>
            <w:r>
              <w:rPr>
                <w:rFonts w:ascii="Arial" w:hAnsi="Arial" w:eastAsia="Arial" w:cs="Arial"/>
                <w:b/>
                <w:bCs/>
                <w:color w:val="000000"/>
                <w:position w:val="0"/>
                <w:sz w:val="20"/>
                <w:szCs w:val="20"/>
              </w:rPr>
              <w:t xml:space="preserve">[11]</w:t>
            </w:r>
            <w:bookmarkEnd w:id="267602551456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Besonderheiten gelten für Zustellungen zwischen
</w:t>
            </w:r>
            <w:r>
              <w:rPr>
                <w:rFonts w:ascii="Arial" w:hAnsi="Arial" w:eastAsia="Arial" w:cs="Arial"/>
                <w:b/>
                <w:bCs/>
                <w:color w:val="000000"/>
                <w:position w:val="0"/>
                <w:sz w:val="20"/>
                <w:szCs w:val="20"/>
              </w:rPr>
              <w:t xml:space="preserve">EU-Mitgliedstaaten</w:t>
            </w:r>
            <w:r>
              <w:rPr>
                <w:rFonts w:ascii="Arial" w:hAnsi="Arial" w:eastAsia="Arial" w:cs="Arial"/>
                <w:color w:val="000000"/>
                <w:position w:val="0"/>
                <w:sz w:val="20"/>
                <w:szCs w:val="20"/>
              </w:rPr>
              <w:t xml:space="preserve">: Hier ist ab dem
</w:t>
            </w:r>
            <w:r>
              <w:rPr>
                <w:rFonts w:ascii="Arial" w:hAnsi="Arial" w:eastAsia="Arial" w:cs="Arial"/>
                <w:b/>
                <w:bCs/>
                <w:color w:val="000000"/>
                <w:position w:val="0"/>
                <w:sz w:val="20"/>
                <w:szCs w:val="20"/>
              </w:rPr>
              <w:t xml:space="preserve">01.07.2022</w:t>
            </w:r>
            <w:r>
              <w:rPr>
                <w:rFonts w:ascii="Arial" w:hAnsi="Arial" w:eastAsia="Arial" w:cs="Arial"/>
                <w:color w:val="000000"/>
                <w:position w:val="0"/>
                <w:sz w:val="20"/>
                <w:szCs w:val="20"/>
              </w:rPr>
              <w:t xml:space="preserve"> die neu gefasste Verordnung des
Europäischen Parlaments und des Rates vom 25. November 2020 über
die Zustellung gerichtlicher und außergerichtlicher Schriftstücke
in Zivil- oder Handelssachen in den Mitgliedsstaaten (VO (EU)
2020/1784) maßgeblich. Die </w:t>
            </w:r>
            <w:r>
              <w:rPr>
                <w:rFonts w:ascii="Arial" w:hAnsi="Arial" w:eastAsia="Arial" w:cs="Arial"/>
                <w:b/>
                <w:bCs/>
                <w:color w:val="000000"/>
                <w:position w:val="0"/>
                <w:sz w:val="20"/>
                <w:szCs w:val="20"/>
              </w:rPr>
              <w:t xml:space="preserve">EuZVO 2020</w:t>
            </w:r>
            <w:r>
              <w:rPr>
                <w:rFonts w:ascii="Arial" w:hAnsi="Arial" w:eastAsia="Arial" w:cs="Arial"/>
                <w:color w:val="000000"/>
                <w:position w:val="0"/>
                <w:sz w:val="20"/>
                <w:szCs w:val="20"/>
              </w:rPr>
              <w:t xml:space="preserve"> ist im
Zustellverkehr mit allen EU-Mitgliedstaaten anzuwenden, sie gilt
auch im Verhältnis zu Dänemark. Primäres Ziel der Revision der
EuZVO war die Modernisierung und Digitalisierung der justiziellen
Zusammenarbeit in Europa, durch den verstärkten Einsatz
elektronischer Mittel sollen die Kommunikation zwischen den
Gerichten verschiedener Mitgliedstaaten sowie die Übermittlung und
Zustellung von Schriftstücken in einen anderen Mitgliedstaat
vereinfacht, beschleunigt und kostengünstiger werden (Erlass des
Bundesministeriums für Justiz Nr 2022-0.444.240 vom 20. Juni
2022 zur VO (EU) 2020/1784). Art 5, 8 und 10 EuZVO, die die
Digitalisierung der Zusammenarbeit regeln, werden allerdings erst
ab 01.05.2025 anwendbar sein: Dann ist die elektronische
Übermittlung zuzustellender Schriftstücke, Ersuchen, Bestätigungen,
Empfangsbestätigungen, Bescheinigungen und Mitteilungen zwingend.
Bis zu diesem Zeitpunkt bleiben die bisherigen Übermittlungswege
gem Art 4 EuZVO 2007 unverändert anwendbar (Art 36
Abs 1 EuZVO).</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Dh vorgesehen ist zunächst der </w:t>
            </w:r>
            <w:r>
              <w:rPr>
                <w:rFonts w:ascii="Arial" w:hAnsi="Arial" w:eastAsia="Arial" w:cs="Arial"/>
                <w:b/>
                <w:bCs/>
                <w:color w:val="000000"/>
                <w:position w:val="0"/>
                <w:sz w:val="20"/>
                <w:szCs w:val="20"/>
              </w:rPr>
              <w:t xml:space="preserve">direkte
Behördenverkehr</w:t>
            </w:r>
            <w:r>
              <w:rPr>
                <w:rFonts w:ascii="Arial" w:hAnsi="Arial" w:eastAsia="Arial" w:cs="Arial"/>
                <w:color w:val="000000"/>
                <w:position w:val="0"/>
                <w:sz w:val="20"/>
                <w:szCs w:val="20"/>
              </w:rPr>
              <w:t xml:space="preserve"> (Art 4 EuZUVO 2007), demzufolge
gerichtliche Schriftstücke zwischen den von den Mitgliedstaaten
benannten Amtspersonen, Behörden oder sonstigen Personen, die für
die Übermittlung gerichtlicher und außergerichtlicher
Schriftstücke, die in einem anderen Mitgliedstaat zuzustellen sind,
zuständig sind (Art 3 EuZUVO 2020), zu übermitteln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Gerichtliche Schriftstücke können Personen mit Aufenthalt in
einem anderen Mitgliedstaat aber auch unmittelbar durch
</w:t>
            </w:r>
            <w:r>
              <w:rPr>
                <w:rFonts w:ascii="Arial" w:hAnsi="Arial" w:eastAsia="Arial" w:cs="Arial"/>
                <w:b/>
                <w:bCs/>
                <w:color w:val="000000"/>
                <w:position w:val="0"/>
                <w:sz w:val="20"/>
                <w:szCs w:val="20"/>
              </w:rPr>
              <w:t xml:space="preserve">Postdienste</w:t>
            </w:r>
            <w:r>
              <w:rPr>
                <w:rFonts w:ascii="Arial" w:hAnsi="Arial" w:eastAsia="Arial" w:cs="Arial"/>
                <w:color w:val="000000"/>
                <w:position w:val="0"/>
                <w:sz w:val="20"/>
                <w:szCs w:val="20"/>
              </w:rPr>
              <w:t xml:space="preserve"> per Einschreiben mit
Empfangsbestätigung oder mittels eines gleichwertigen Nachweises
zugestellt werden </w:t>
            </w:r>
            <w:r>
              <w:rPr>
                <w:rFonts w:ascii="Arial" w:hAnsi="Arial" w:eastAsia="Arial" w:cs="Arial"/>
                <w:b/>
                <w:bCs/>
                <w:color w:val="000000"/>
                <w:position w:val="0"/>
                <w:sz w:val="20"/>
                <w:szCs w:val="20"/>
              </w:rPr>
              <w:t xml:space="preserve">(Art 18 EuZVO 2020)</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 Übermittlungswege sind grundsätzlich
</w:t>
            </w:r>
            <w:r>
              <w:rPr>
                <w:rFonts w:ascii="Arial" w:hAnsi="Arial" w:eastAsia="Arial" w:cs="Arial"/>
                <w:b/>
                <w:bCs/>
                <w:color w:val="000000"/>
                <w:position w:val="0"/>
                <w:sz w:val="20"/>
                <w:szCs w:val="20"/>
              </w:rPr>
              <w:t xml:space="preserve">gleichwertig</w:t>
            </w:r>
            <w:r>
              <w:rPr>
                <w:rFonts w:ascii="Arial" w:hAnsi="Arial" w:eastAsia="Arial" w:cs="Arial"/>
                <w:color w:val="000000"/>
                <w:position w:val="0"/>
                <w:sz w:val="20"/>
                <w:szCs w:val="20"/>
              </w:rPr>
              <w:t xml:space="preserve"> und können kumulativ herangezogen
werden (</w:t>
            </w:r>
            <w:r>
              <w:rPr>
                <w:rFonts w:ascii="Arial" w:hAnsi="Arial" w:eastAsia="Arial" w:cs="Arial"/>
                <w:i/>
                <w:iCs/>
                <w:color w:val="000000"/>
                <w:position w:val="0"/>
                <w:sz w:val="20"/>
                <w:szCs w:val="20"/>
              </w:rPr>
              <w:t xml:space="preserve">Nademleinsky/Neumayr</w:t>
            </w:r>
            <w:r>
              <w:rPr>
                <w:rFonts w:ascii="Arial" w:hAnsi="Arial" w:eastAsia="Arial" w:cs="Arial"/>
                <w:color w:val="000000"/>
                <w:position w:val="0"/>
                <w:sz w:val="20"/>
                <w:szCs w:val="20"/>
              </w:rPr>
              <w:t xml:space="preserve">, Internationales
Familienrecht, Rz 01.83 mwN), österreichische Gerichte können
also in andere EU-Mitgliedstaaten mittels internationalen
Rückscheins wirksam zustellen (6 Ob 251/12y). Im Anwendungsbereich
der EuZVO ist allerdings eine Zustellung ohne
</w:t>
            </w:r>
            <w:r>
              <w:rPr>
                <w:rFonts w:ascii="Arial" w:hAnsi="Arial" w:eastAsia="Arial" w:cs="Arial"/>
                <w:b/>
                <w:bCs/>
                <w:color w:val="000000"/>
                <w:position w:val="0"/>
                <w:sz w:val="20"/>
                <w:szCs w:val="20"/>
              </w:rPr>
              <w:t xml:space="preserve">Zustellnachweis</w:t>
            </w:r>
            <w:r>
              <w:rPr>
                <w:rFonts w:ascii="Arial" w:hAnsi="Arial" w:eastAsia="Arial" w:cs="Arial"/>
                <w:color w:val="000000"/>
                <w:position w:val="0"/>
                <w:sz w:val="20"/>
                <w:szCs w:val="20"/>
              </w:rPr>
              <w:t xml:space="preserve"> (samt Zustellfiktion), wie sie
§ 98 ZPO für den Fall der Nichtbenennung eines
Zustellbevollmächtigten vorsieht, unionsrechtswidrig (RIS-Justiz
RS0129144).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Neu ist dazu </w:t>
            </w:r>
            <w:r>
              <w:rPr>
                <w:rFonts w:ascii="Arial" w:hAnsi="Arial" w:eastAsia="Arial" w:cs="Arial"/>
                <w:b/>
                <w:bCs/>
                <w:color w:val="000000"/>
                <w:position w:val="0"/>
                <w:sz w:val="20"/>
                <w:szCs w:val="20"/>
              </w:rPr>
              <w:t xml:space="preserve">Art 19 EuZUVO 2020</w:t>
            </w:r>
            <w:r>
              <w:rPr>
                <w:rFonts w:ascii="Arial" w:hAnsi="Arial" w:eastAsia="Arial" w:cs="Arial"/>
                <w:color w:val="000000"/>
                <w:position w:val="0"/>
                <w:sz w:val="20"/>
                <w:szCs w:val="20"/>
              </w:rPr>
              <w:t xml:space="preserve">, der die
</w:t>
            </w:r>
            <w:r>
              <w:rPr>
                <w:rFonts w:ascii="Arial" w:hAnsi="Arial" w:eastAsia="Arial" w:cs="Arial"/>
                <w:b/>
                <w:bCs/>
                <w:color w:val="000000"/>
                <w:position w:val="0"/>
                <w:sz w:val="20"/>
                <w:szCs w:val="20"/>
              </w:rPr>
              <w:t xml:space="preserve">elektronische Zustellung</w:t>
            </w:r>
            <w:r>
              <w:rPr>
                <w:rFonts w:ascii="Arial" w:hAnsi="Arial" w:eastAsia="Arial" w:cs="Arial"/>
                <w:color w:val="000000"/>
                <w:position w:val="0"/>
                <w:sz w:val="20"/>
                <w:szCs w:val="20"/>
              </w:rPr>
              <w:t xml:space="preserve"> an den Empfänger des
Schriftstückes regelt und demzufolge einer Person mit bekannter
Zustelladresse in einem anderen Mitgliedstaat unter bestimmten
Bedingungen unmittelbar durch elektronische Mittel zugestellt
werden kann, wenn diese nach dem Recht des Forummitgliedstaates für
die inländische Zustellung von Schriftstücken vorgesehen sind.
Dabei werden zwei Wege der elektronischen Zustellung unterschieden,
nämlich einerseits die Zustellung mittels eines
</w:t>
            </w:r>
            <w:r>
              <w:rPr>
                <w:rFonts w:ascii="Arial" w:hAnsi="Arial" w:eastAsia="Arial" w:cs="Arial"/>
                <w:b/>
                <w:bCs/>
                <w:color w:val="000000"/>
                <w:position w:val="0"/>
                <w:sz w:val="20"/>
                <w:szCs w:val="20"/>
              </w:rPr>
              <w:t xml:space="preserve">qualifizierten Dienstes für die Zustellung elektronischer
Einschreiben</w:t>
            </w:r>
            <w:r>
              <w:rPr>
                <w:rFonts w:ascii="Arial" w:hAnsi="Arial" w:eastAsia="Arial" w:cs="Arial"/>
                <w:color w:val="000000"/>
                <w:position w:val="0"/>
                <w:sz w:val="20"/>
                <w:szCs w:val="20"/>
              </w:rPr>
              <w:t xml:space="preserve"> im Sinne der VO (EU) 910/2014 vom 28.8.2014
(eIDAS-VO) bzw andererseits die Zustellung an eine bestimmte
E-Mail-Adresse. Letzteres steht unter der Voraussetzung, dass der
Empfänger dem angerufenen Gericht seine vorherige ausdrückliche
Zustimmung zur Verwendung von E-Mails an eine bestimmte
</w:t>
            </w:r>
            <w:r>
              <w:rPr>
                <w:rFonts w:ascii="Arial" w:hAnsi="Arial" w:eastAsia="Arial" w:cs="Arial"/>
                <w:b/>
                <w:bCs/>
                <w:color w:val="000000"/>
                <w:position w:val="0"/>
                <w:sz w:val="20"/>
                <w:szCs w:val="20"/>
              </w:rPr>
              <w:t xml:space="preserve">E-Mail-Adresse</w:t>
            </w:r>
            <w:r>
              <w:rPr>
                <w:rFonts w:ascii="Arial" w:hAnsi="Arial" w:eastAsia="Arial" w:cs="Arial"/>
                <w:color w:val="000000"/>
                <w:position w:val="0"/>
                <w:sz w:val="20"/>
                <w:szCs w:val="20"/>
              </w:rPr>
              <w:t xml:space="preserve"> für die Zustellung von
Schriftstücken im Rahmen des betreffenden Verfahrens gegeben hat.
Für österreichische Gerichte kommt diese Form der Zustellung nicht
in Betracht, weil sie im nationalen Recht nicht vorgesehen ist,
umgekehrt können Personen mit Aufenthalt in Österreich von
ausländischen Gerichten, deren Rechtsordnung diese Form der
Zustellung erlaubt, Schriftstücke unter den genannten Bedingungen
zugestellt werden (Erlass BMJ Nr 2022-0.444.240 vom 20. Juni
2022). Von der Möglichkeit, zusätzliche Bedingungen im Hinblick auf
die Sicherheit der Übermittlung zu gewährleisten, hat Österreich
keinen Gebrauch gemacht (Art 19 Abs 2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Mitgliedstaat benennt eine </w:t>
            </w:r>
            <w:r>
              <w:rPr>
                <w:rFonts w:ascii="Arial" w:hAnsi="Arial" w:eastAsia="Arial" w:cs="Arial"/>
                <w:b/>
                <w:bCs/>
                <w:color w:val="000000"/>
                <w:position w:val="0"/>
                <w:sz w:val="20"/>
                <w:szCs w:val="20"/>
              </w:rPr>
              <w:t xml:space="preserve">Zentralstelle</w:t>
            </w:r>
            <w:r>
              <w:rPr>
                <w:rFonts w:ascii="Arial" w:hAnsi="Arial" w:eastAsia="Arial" w:cs="Arial"/>
                <w:color w:val="000000"/>
                <w:position w:val="0"/>
                <w:sz w:val="20"/>
                <w:szCs w:val="20"/>
              </w:rPr>
              <w:t xml:space="preserve">,
die dafür verantwortlich ist, den Übermittlungsstellen Auskünfte zu
erteilen, nach Lösungswegen zu suchen, wenn bei der Übermittlung
von Schriftstücken zum Zwecke der Zustellung Schwierigkeiten
auftreten und in Ausnahmefällen auf Ersuchen einer
Übermittlungsstelle einen Zustellungsantrag an die zuständige
Empfangsstelle weiterzuleiten (Art 4 EuZUVO 2020). Als
österreichische Zentralstelle fungiert das Bundesministerium für
Justiz (Abteilung I 10), Museumstraße 7, 1070 Wien, Tel
+43.1.521520, </w:t>
            </w:r>
            <w:hyperlink r:id="rId53876a8b93a8970c8" w:history="1">
              <w:r>
                <w:rPr>
                  <w:rFonts w:ascii="Arial" w:hAnsi="Arial" w:eastAsia="Arial" w:cs="Arial"/>
                  <w:color w:val="006BB6"/>
                  <w:position w:val="0"/>
                  <w:sz w:val="20"/>
                  <w:szCs w:val="20"/>
                </w:rPr>
                <w:t xml:space="preserve">team.z@bmj.gv.at</w:t>
              </w:r>
            </w:hyperlink>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Art 7 EuZVO 2020</w:t>
            </w:r>
            <w:r>
              <w:rPr>
                <w:rFonts w:ascii="Arial" w:hAnsi="Arial" w:eastAsia="Arial" w:cs="Arial"/>
                <w:color w:val="000000"/>
                <w:position w:val="0"/>
                <w:sz w:val="20"/>
                <w:szCs w:val="20"/>
              </w:rPr>
              <w:t xml:space="preserve"> legt nun darüber hinaus
neu fest, dass die Mitgliedstaaten bei der </w:t>
            </w:r>
            <w:r>
              <w:rPr>
                <w:rFonts w:ascii="Arial" w:hAnsi="Arial" w:eastAsia="Arial" w:cs="Arial"/>
                <w:b/>
                <w:bCs/>
                <w:color w:val="000000"/>
                <w:position w:val="0"/>
                <w:sz w:val="20"/>
                <w:szCs w:val="20"/>
              </w:rPr>
              <w:t xml:space="preserve">Ermittlung der
Anschrift von Adressaten</w:t>
            </w:r>
            <w:r>
              <w:rPr>
                <w:rFonts w:ascii="Arial" w:hAnsi="Arial" w:eastAsia="Arial" w:cs="Arial"/>
                <w:color w:val="000000"/>
                <w:position w:val="0"/>
                <w:sz w:val="20"/>
                <w:szCs w:val="20"/>
              </w:rPr>
              <w:t xml:space="preserve"> grundsätzlich zur Hilfeleistung
verpflichtet sind, wobei hier drei verschiedene Optionen vorgesehen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Empfänger darf die Annahme des zuzustellenden Schriftstücks
verweigern, wenn das Schriftstück nicht in einer der folgenden
Sprachen abgefasst oder keine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in eine
Sprache, die der Empfänger versteht, oder die Amtssprache des
Empfangsmitgliedstaats oder, wenn es im Empfangsmitgliedstaat
mehrere Amtssprachen gibt, die Amtssprache oder eine der
Amtssprachen des Ortes, an dem die Zustellung erfolgen soll,
beigefügt ist (Art 12 Abs 1 EuZVO 2020). Der Empfänger
kann die Annahme eines Schriftstücks entweder bei der Zustellung
oder durch eine schriftliche Erklärung der
</w:t>
            </w:r>
            <w:r>
              <w:rPr>
                <w:rFonts w:ascii="Arial" w:hAnsi="Arial" w:eastAsia="Arial" w:cs="Arial"/>
                <w:b/>
                <w:bCs/>
                <w:color w:val="000000"/>
                <w:position w:val="0"/>
                <w:sz w:val="20"/>
                <w:szCs w:val="20"/>
              </w:rPr>
              <w:t xml:space="preserve">Annahmeverweigerung</w:t>
            </w:r>
            <w:r>
              <w:rPr>
                <w:rFonts w:ascii="Arial" w:hAnsi="Arial" w:eastAsia="Arial" w:cs="Arial"/>
                <w:color w:val="000000"/>
                <w:position w:val="0"/>
                <w:sz w:val="20"/>
                <w:szCs w:val="20"/>
              </w:rPr>
              <w:t xml:space="preserve"> innerhalb von </w:t>
            </w:r>
            <w:r>
              <w:rPr>
                <w:rFonts w:ascii="Arial" w:hAnsi="Arial" w:eastAsia="Arial" w:cs="Arial"/>
                <w:b/>
                <w:bCs/>
                <w:color w:val="000000"/>
                <w:position w:val="0"/>
                <w:sz w:val="20"/>
                <w:szCs w:val="20"/>
              </w:rPr>
              <w:t xml:space="preserve">zwei
Wochen</w:t>
            </w:r>
            <w:r>
              <w:rPr>
                <w:rFonts w:ascii="Arial" w:hAnsi="Arial" w:eastAsia="Arial" w:cs="Arial"/>
                <w:color w:val="000000"/>
                <w:position w:val="0"/>
                <w:sz w:val="20"/>
                <w:szCs w:val="20"/>
              </w:rPr>
              <w:t xml:space="preserve"> ab dem Zeitpunkt der Zustellung verweigern
(Art 12 Abs 3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Bescheinigung über die Zustellung</w:t>
            </w:r>
            <w:r>
              <w:rPr>
                <w:rFonts w:ascii="Arial" w:hAnsi="Arial" w:eastAsia="Arial" w:cs="Arial"/>
                <w:color w:val="000000"/>
                <w:position w:val="0"/>
                <w:sz w:val="20"/>
                <w:szCs w:val="20"/>
              </w:rPr>
              <w:t xml:space="preserve"> ist unter
Verwendung des Formblatts K vorzunehmen (Art 14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Empfangsstaat darf, wie bisher, grundsätzlich </w:t>
            </w:r>
            <w:r>
              <w:rPr>
                <w:rFonts w:ascii="Arial" w:hAnsi="Arial" w:eastAsia="Arial" w:cs="Arial"/>
                <w:b/>
                <w:bCs/>
                <w:color w:val="000000"/>
                <w:position w:val="0"/>
                <w:sz w:val="20"/>
                <w:szCs w:val="20"/>
              </w:rPr>
              <w:t xml:space="preserve">keine
Gebühren</w:t>
            </w:r>
            <w:r>
              <w:rPr>
                <w:rFonts w:ascii="Arial" w:hAnsi="Arial" w:eastAsia="Arial" w:cs="Arial"/>
                <w:color w:val="000000"/>
                <w:position w:val="0"/>
                <w:sz w:val="20"/>
                <w:szCs w:val="20"/>
              </w:rPr>
              <w:t xml:space="preserve"> für seine Tätigkeit oder Erstattung von Auslagen
verlangen (Art 15 Abs 1 EuZVO). Abweichend davon hat der
Antragsteller allerdings die Kosten der Mitwirkung einer Amtsperson
oder einer anderen nach dem Recht des Empfangsmitgliedstaats
zuständigen Person bei der Zustellung sowie die Kosten für ein
besonderes Verfahren der Zustellung zu tragen (Art 15
Abs 2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Vorgesehen ist von der EuZVO 2020 auch noch die Übermittlung
</w:t>
            </w:r>
            <w:r>
              <w:rPr>
                <w:rFonts w:ascii="Arial" w:hAnsi="Arial" w:eastAsia="Arial" w:cs="Arial"/>
                <w:b/>
                <w:bCs/>
                <w:color w:val="000000"/>
                <w:position w:val="0"/>
                <w:sz w:val="20"/>
                <w:szCs w:val="20"/>
              </w:rPr>
              <w:t xml:space="preserve">auf diplomatischem oder konsularischem Weg</w:t>
            </w:r>
            <w:r>
              <w:rPr>
                <w:rFonts w:ascii="Arial" w:hAnsi="Arial" w:eastAsia="Arial" w:cs="Arial"/>
                <w:color w:val="000000"/>
                <w:position w:val="0"/>
                <w:sz w:val="20"/>
                <w:szCs w:val="20"/>
              </w:rPr>
              <w:t xml:space="preserve">
(Art 16 EuZVO 2020) bzw die Zustellung von Schriftstücken
durch die diplomatischen oder konsularischen
</w:t>
            </w:r>
            <w:r>
              <w:rPr>
                <w:rFonts w:ascii="Arial" w:hAnsi="Arial" w:eastAsia="Arial" w:cs="Arial"/>
                <w:b/>
                <w:bCs/>
                <w:color w:val="000000"/>
                <w:position w:val="0"/>
                <w:sz w:val="20"/>
                <w:szCs w:val="20"/>
              </w:rPr>
              <w:t xml:space="preserve">Vertretungen</w:t>
            </w:r>
            <w:r>
              <w:rPr>
                <w:rFonts w:ascii="Arial" w:hAnsi="Arial" w:eastAsia="Arial" w:cs="Arial"/>
                <w:color w:val="000000"/>
                <w:position w:val="0"/>
                <w:sz w:val="20"/>
                <w:szCs w:val="20"/>
              </w:rPr>
              <w:t xml:space="preserve"> (Art 17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an bestimmten Gerichtsverfahren Beteiligte kann
gerichtliche Schriftstücke weiters auch unmittelbar durch
Amtspersonen, Beamte oder sonstige zuständige Personen des
Mitgliedstaats, in dem Zustellung beantragt wird, zustellen lassen,
sofern eine solche </w:t>
            </w:r>
            <w:r>
              <w:rPr>
                <w:rFonts w:ascii="Arial" w:hAnsi="Arial" w:eastAsia="Arial" w:cs="Arial"/>
                <w:b/>
                <w:bCs/>
                <w:color w:val="000000"/>
                <w:position w:val="0"/>
                <w:sz w:val="20"/>
                <w:szCs w:val="20"/>
              </w:rPr>
              <w:t xml:space="preserve">unmittelbare Zustellung</w:t>
            </w:r>
            <w:r>
              <w:rPr>
                <w:rFonts w:ascii="Arial" w:hAnsi="Arial" w:eastAsia="Arial" w:cs="Arial"/>
                <w:color w:val="000000"/>
                <w:position w:val="0"/>
                <w:sz w:val="20"/>
                <w:szCs w:val="20"/>
              </w:rPr>
              <w:t xml:space="preserve"> nach
dem Recht dieses Mitgliedstaats zulässig ist (Art 20 EuZVO
2020). In Österreich ist diese Form der Zustellung nicht zulässig
(vgl Erlass BMJ Nr 2022-0.444.240 vom 20. Juni 2022).</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422303" w:name="note12"/>
            <w:bookmarkEnd w:id="21422303"/>
            <w:bookmarkStart w:id="5581932144072" w:name="note12"/>
            <w:r>
              <w:rPr>
                <w:rFonts w:ascii="Arial" w:hAnsi="Arial" w:eastAsia="Arial" w:cs="Arial"/>
                <w:b/>
                <w:bCs/>
                <w:color w:val="000000"/>
                <w:position w:val="0"/>
                <w:sz w:val="20"/>
                <w:szCs w:val="20"/>
              </w:rPr>
              <w:t xml:space="preserve">[12]</w:t>
            </w:r>
            <w:bookmarkEnd w:id="558193214407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Österreich ist weiters Vertragsstaat des Übereinkommens vom 1.
März 1954 über den Zivilprozess (Haager Prozeßübereinkommen 1954,
</w:t>
            </w:r>
            <w:r>
              <w:rPr>
                <w:rFonts w:ascii="Arial" w:hAnsi="Arial" w:eastAsia="Arial" w:cs="Arial"/>
                <w:b/>
                <w:bCs/>
                <w:color w:val="000000"/>
                <w:position w:val="0"/>
                <w:sz w:val="20"/>
                <w:szCs w:val="20"/>
              </w:rPr>
              <w:t xml:space="preserve">HPÜ</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Volltext des Übereinkommens ist im Internet unter </w:t>
            </w:r>
            <w:hyperlink r:id="rId79306a8b93a897386" w:history="1">
              <w:r>
                <w:rPr>
                  <w:rFonts w:ascii="Arial" w:hAnsi="Arial" w:eastAsia="Arial" w:cs="Arial"/>
                  <w:color w:val="006BB6"/>
                  <w:position w:val="0"/>
                  <w:sz w:val="20"/>
                  <w:szCs w:val="20"/>
                </w:rPr>
                <w:t xml:space="preserve">https://assets.hcch.net/docs/eb40a6b3-c7c5-4433-bd4f-00d1edd0736c.pdf</w:t>
              </w:r>
            </w:hyperlink>
            <w:r>
              <w:rPr>
                <w:rFonts w:ascii="Arial" w:hAnsi="Arial" w:eastAsia="Arial" w:cs="Arial"/>
                <w:color w:val="000000"/>
                <w:position w:val="0"/>
                <w:sz w:val="20"/>
                <w:szCs w:val="20"/>
              </w:rPr>
              <w:t xml:space="preserve">
abrufbar.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Ratifikationsstand kann unter </w:t>
            </w:r>
            <w:hyperlink r:id="rId17946a8b93a8973a3" w:history="1">
              <w:r>
                <w:rPr>
                  <w:rFonts w:ascii="Arial" w:hAnsi="Arial" w:eastAsia="Arial" w:cs="Arial"/>
                  <w:color w:val="006BB6"/>
                  <w:position w:val="0"/>
                  <w:sz w:val="20"/>
                  <w:szCs w:val="20"/>
                </w:rPr>
                <w:t xml:space="preserve">https://www.hcch.net/en/instruments/conventions/status-table/?cid=33</w:t>
              </w:r>
            </w:hyperlink>
            <w:r>
              <w:rPr>
                <w:rFonts w:ascii="Arial" w:hAnsi="Arial" w:eastAsia="Arial" w:cs="Arial"/>
                <w:color w:val="000000"/>
                <w:position w:val="0"/>
                <w:sz w:val="20"/>
                <w:szCs w:val="20"/>
              </w:rPr>
              <w:t xml:space="preserve">
ersehen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Übereinkommen ist für Österreich ursprünglich am 12.04.1957
in Kraft getreten (BGBl Nr 91/1957 idF
BGBl Nr 40/1958) und kann noch für Zustellungen zwischen
Staaten maßgeblich sein, die nicht auch Vertragsstaaten des HZÜ
sind (vgl Art 22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Zustellung erfolgt hier grundsätzlich mit Hilfe der
</w:t>
            </w:r>
            <w:r>
              <w:rPr>
                <w:rFonts w:ascii="Arial" w:hAnsi="Arial" w:eastAsia="Arial" w:cs="Arial"/>
                <w:b/>
                <w:bCs/>
                <w:color w:val="000000"/>
                <w:position w:val="0"/>
                <w:sz w:val="20"/>
                <w:szCs w:val="20"/>
              </w:rPr>
              <w:t xml:space="preserve">Konsuln</w:t>
            </w:r>
            <w:r>
              <w:rPr>
                <w:rFonts w:ascii="Arial" w:hAnsi="Arial" w:eastAsia="Arial" w:cs="Arial"/>
                <w:color w:val="000000"/>
                <w:position w:val="0"/>
                <w:sz w:val="20"/>
                <w:szCs w:val="20"/>
              </w:rPr>
              <w:t xml:space="preserve"> (Art 1 HPÜ). Eine unmittelbare
Zustellung durch die Post ist vom HPÜ nicht vorgesehen (3 Ob
121/13k).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Zustellung ohne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kann nur an
einen entsprechend annahmebereiten Empfänger vorgenommen werden (10
ObS 347/99y; 3 Ob 56/13a).</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1518567" w:name="note13"/>
            <w:bookmarkEnd w:id="91518567"/>
            <w:bookmarkStart w:id="3587024324515" w:name="note13"/>
            <w:r>
              <w:rPr>
                <w:rFonts w:ascii="Arial" w:hAnsi="Arial" w:eastAsia="Arial" w:cs="Arial"/>
                <w:b/>
                <w:bCs/>
                <w:color w:val="000000"/>
                <w:position w:val="0"/>
                <w:sz w:val="20"/>
                <w:szCs w:val="20"/>
              </w:rPr>
              <w:t xml:space="preserve">[13]</w:t>
            </w:r>
            <w:bookmarkEnd w:id="358702432451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der Praxis für Österreich relevante </w:t>
            </w:r>
            <w:r>
              <w:rPr>
                <w:rFonts w:ascii="Arial" w:hAnsi="Arial" w:eastAsia="Arial" w:cs="Arial"/>
                <w:b/>
                <w:bCs/>
                <w:color w:val="000000"/>
                <w:position w:val="0"/>
                <w:sz w:val="20"/>
                <w:szCs w:val="20"/>
              </w:rPr>
              <w:t xml:space="preserve">bilaterale
Rechtshilfeverträge</w:t>
            </w:r>
            <w:r>
              <w:rPr>
                <w:rFonts w:ascii="Arial" w:hAnsi="Arial" w:eastAsia="Arial" w:cs="Arial"/>
                <w:color w:val="000000"/>
                <w:position w:val="0"/>
                <w:sz w:val="20"/>
                <w:szCs w:val="20"/>
              </w:rPr>
              <w:t xml:space="preserve"> bestehen darüber hinaus noch zwischen
Österreich und der Förderativen Volksrepublik Jugoslawien der
geschlossene Rechtshilfevertrag, der aufgrund des Prinzips der
Kontinuität im Rahmen des Völkerrechts auf die Nachfolgestaaten
nach wie vor angewendet wird (</w:t>
            </w:r>
            <w:r>
              <w:rPr>
                <w:rFonts w:ascii="Arial" w:hAnsi="Arial" w:eastAsia="Arial" w:cs="Arial"/>
                <w:i/>
                <w:iCs/>
                <w:color w:val="000000"/>
                <w:position w:val="0"/>
                <w:sz w:val="20"/>
                <w:szCs w:val="20"/>
              </w:rPr>
              <w:t xml:space="preserve">Nademleinsky/Neumayr</w:t>
            </w:r>
            <w:r>
              <w:rPr>
                <w:rFonts w:ascii="Arial" w:hAnsi="Arial" w:eastAsia="Arial" w:cs="Arial"/>
                <w:color w:val="000000"/>
                <w:position w:val="0"/>
                <w:sz w:val="20"/>
                <w:szCs w:val="20"/>
              </w:rPr>
              <w:t xml:space="preserve">, aaO,
Rz 01.87).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Verhältnis zu </w:t>
            </w:r>
            <w:r>
              <w:rPr>
                <w:rFonts w:ascii="Arial" w:hAnsi="Arial" w:eastAsia="Arial" w:cs="Arial"/>
                <w:b/>
                <w:bCs/>
                <w:color w:val="000000"/>
                <w:position w:val="0"/>
                <w:sz w:val="20"/>
                <w:szCs w:val="20"/>
              </w:rPr>
              <w:t xml:space="preserve">Großbritannien</w:t>
            </w:r>
            <w:r>
              <w:rPr>
                <w:rFonts w:ascii="Arial" w:hAnsi="Arial" w:eastAsia="Arial" w:cs="Arial"/>
                <w:color w:val="000000"/>
                <w:position w:val="0"/>
                <w:sz w:val="20"/>
                <w:szCs w:val="20"/>
              </w:rPr>
              <w:t xml:space="preserve"> ist auf das
Österreichisch-britische Rechtshilfeabkommen vom 31. März 1931
(BGBl Nr 45/1932) zu verweisen, welches auch im
Verhältnis zu einigen Staaten des </w:t>
            </w:r>
            <w:r>
              <w:rPr>
                <w:rFonts w:ascii="Arial" w:hAnsi="Arial" w:eastAsia="Arial" w:cs="Arial"/>
                <w:b/>
                <w:bCs/>
                <w:color w:val="000000"/>
                <w:position w:val="0"/>
                <w:sz w:val="20"/>
                <w:szCs w:val="20"/>
              </w:rPr>
              <w:t xml:space="preserve">Commonwealth</w:t>
            </w:r>
            <w:r>
              <w:rPr>
                <w:rFonts w:ascii="Arial" w:hAnsi="Arial" w:eastAsia="Arial" w:cs="Arial"/>
                <w:color w:val="000000"/>
                <w:position w:val="0"/>
                <w:sz w:val="20"/>
                <w:szCs w:val="20"/>
              </w:rPr>
              <w:t xml:space="preserve">
gilt (Australien, Bahamas, Fidschi, Kanada, Lesotho, Nauru,
Neuseeland, Papua-Neuguinea, Simbabwe, Singapur, Swasiland, Tonga)
und demzufolge auch Zustellungen durch die Post möglich sind
(RIS-Justiz RS0036483).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Weiters ist grundsätzlich zwischen Österreich und der
</w:t>
            </w:r>
            <w:r>
              <w:rPr>
                <w:rFonts w:ascii="Arial" w:hAnsi="Arial" w:eastAsia="Arial" w:cs="Arial"/>
                <w:b/>
                <w:bCs/>
                <w:color w:val="000000"/>
                <w:position w:val="0"/>
                <w:sz w:val="20"/>
                <w:szCs w:val="20"/>
              </w:rPr>
              <w:t xml:space="preserve">Russischen Föderation</w:t>
            </w:r>
            <w:r>
              <w:rPr>
                <w:rFonts w:ascii="Arial" w:hAnsi="Arial" w:eastAsia="Arial" w:cs="Arial"/>
                <w:color w:val="000000"/>
                <w:position w:val="0"/>
                <w:sz w:val="20"/>
                <w:szCs w:val="20"/>
              </w:rPr>
              <w:t xml:space="preserve"> geklärt worden, dass der mit
der ehemaligen Union der sozialistischen Sowjetrepubliken
abgeschlossene Rechtshilfevertrag weiter angewendet wird (2 Ob
212/18t ecolex 2019/302; 1 Ob 41/18p; 6 Ob 190/05t).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2844660" w:name="note14"/>
            <w:bookmarkEnd w:id="52844660"/>
            <w:bookmarkStart w:id="1237427364888" w:name="note14"/>
            <w:r>
              <w:rPr>
                <w:rFonts w:ascii="Arial" w:hAnsi="Arial" w:eastAsia="Arial" w:cs="Arial"/>
                <w:b/>
                <w:bCs/>
                <w:color w:val="000000"/>
                <w:position w:val="0"/>
                <w:sz w:val="20"/>
                <w:szCs w:val="20"/>
              </w:rPr>
              <w:t xml:space="preserve">[14]</w:t>
            </w:r>
            <w:bookmarkEnd w:id="12374273648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der Bestimmungsstaat weder EU-Mitgliedstaat iSd EuZVO noch
Vertragsstaat des HZÜ ist und auch keine bilateralen Abkommen
bestehen, hat eine Zustellung im Ausland nach den Bestimmungen der
ZPO bzw des </w:t>
            </w:r>
            <w:r>
              <w:rPr>
                <w:rFonts w:ascii="Arial" w:hAnsi="Arial" w:eastAsia="Arial" w:cs="Arial"/>
                <w:b/>
                <w:bCs/>
                <w:color w:val="000000"/>
                <w:position w:val="0"/>
                <w:sz w:val="20"/>
                <w:szCs w:val="20"/>
              </w:rPr>
              <w:t xml:space="preserve">Zustellgesetzes</w:t>
            </w:r>
            <w:r>
              <w:rPr>
                <w:rFonts w:ascii="Arial" w:hAnsi="Arial" w:eastAsia="Arial" w:cs="Arial"/>
                <w:color w:val="000000"/>
                <w:position w:val="0"/>
                <w:sz w:val="20"/>
                <w:szCs w:val="20"/>
              </w:rPr>
              <w:t xml:space="preserve"> (ZustG) zu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Dementsprechend normiert § 11 Abs 1 ZustG, dass
Zustellungen allenfalls auf dem Weg, den die Gesetze oder sonstigen
</w:t>
            </w:r>
            <w:r>
              <w:rPr>
                <w:rFonts w:ascii="Arial" w:hAnsi="Arial" w:eastAsia="Arial" w:cs="Arial"/>
                <w:b/>
                <w:bCs/>
                <w:color w:val="000000"/>
                <w:position w:val="0"/>
                <w:sz w:val="20"/>
                <w:szCs w:val="20"/>
              </w:rPr>
              <w:t xml:space="preserve">Rechtsvorschriften des Staates, in dem zugestellt werden
soll</w:t>
            </w:r>
            <w:r>
              <w:rPr>
                <w:rFonts w:ascii="Arial" w:hAnsi="Arial" w:eastAsia="Arial" w:cs="Arial"/>
                <w:color w:val="000000"/>
                <w:position w:val="0"/>
                <w:sz w:val="20"/>
                <w:szCs w:val="20"/>
              </w:rPr>
              <w:t xml:space="preserve">, oder die </w:t>
            </w:r>
            <w:r>
              <w:rPr>
                <w:rFonts w:ascii="Arial" w:hAnsi="Arial" w:eastAsia="Arial" w:cs="Arial"/>
                <w:b/>
                <w:bCs/>
                <w:color w:val="000000"/>
                <w:position w:val="0"/>
                <w:sz w:val="20"/>
                <w:szCs w:val="20"/>
              </w:rPr>
              <w:t xml:space="preserve">internationale Übung</w:t>
            </w:r>
            <w:r>
              <w:rPr>
                <w:rFonts w:ascii="Arial" w:hAnsi="Arial" w:eastAsia="Arial" w:cs="Arial"/>
                <w:color w:val="000000"/>
                <w:position w:val="0"/>
                <w:sz w:val="20"/>
                <w:szCs w:val="20"/>
              </w:rPr>
              <w:t xml:space="preserve">
zulassen, erforderlichenfalls unter </w:t>
            </w:r>
            <w:r>
              <w:rPr>
                <w:rFonts w:ascii="Arial" w:hAnsi="Arial" w:eastAsia="Arial" w:cs="Arial"/>
                <w:b/>
                <w:bCs/>
                <w:color w:val="000000"/>
                <w:position w:val="0"/>
                <w:sz w:val="20"/>
                <w:szCs w:val="20"/>
              </w:rPr>
              <w:t xml:space="preserve">Mitwirkung der
österreichischen Vertretungsbehörden</w:t>
            </w:r>
            <w:r>
              <w:rPr>
                <w:rFonts w:ascii="Arial" w:hAnsi="Arial" w:eastAsia="Arial" w:cs="Arial"/>
                <w:color w:val="000000"/>
                <w:position w:val="0"/>
                <w:sz w:val="20"/>
                <w:szCs w:val="20"/>
              </w:rPr>
              <w:t xml:space="preserve">, vorzunehmen
sind.</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Österreichische Vertretungsbehörden</w:t>
            </w:r>
            <w:r>
              <w:rPr>
                <w:rFonts w:ascii="Arial" w:hAnsi="Arial" w:eastAsia="Arial" w:cs="Arial"/>
                <w:color w:val="000000"/>
                <w:position w:val="0"/>
                <w:sz w:val="20"/>
                <w:szCs w:val="20"/>
              </w:rPr>
              <w:t xml:space="preserve"> im Ausland
können sohin grundsätzlich ersucht werden, gerichtliche
Geschäftsstücke zuzustellen, wenn zu erwarten ist, dass der
Zustellungsempfänger zur Annahme der Geschäftsstücke bereit sein
wird und wenn die Zustellung durch die Vertretungsbehörden nicht
durch eine zwischenstaatliche Vereinbarung oder Unionsrecht
ausgeschlossen ist oder vom ausländischen Staat als Eingriff in
seine Hoheitsrechte angesehen wird (§ 31 Abs 1 Erlass vom
8. September 2020 über die internationale Rechtshilfe und andere
Rechtsbeziehungen mit dem Ausland in Zivilsachen; </w:t>
            </w:r>
            <w:r>
              <w:rPr>
                <w:rFonts w:ascii="Arial" w:hAnsi="Arial" w:eastAsia="Arial" w:cs="Arial"/>
                <w:b/>
                <w:bCs/>
                <w:color w:val="000000"/>
                <w:position w:val="0"/>
                <w:sz w:val="20"/>
                <w:szCs w:val="20"/>
              </w:rPr>
              <w:t xml:space="preserve">RHE Ziv
2020</w:t>
            </w:r>
            <w:r>
              <w:rPr>
                <w:rFonts w:ascii="Arial" w:hAnsi="Arial" w:eastAsia="Arial" w:cs="Arial"/>
                <w:color w:val="000000"/>
                <w:position w:val="0"/>
                <w:sz w:val="20"/>
                <w:szCs w:val="20"/>
              </w:rPr>
              <w:t xml:space="preserve">). Vom Bundesministerium für Justiz wird diesbezüglich
eine entsprechende elektronische </w:t>
            </w:r>
            <w:r>
              <w:rPr>
                <w:rFonts w:ascii="Arial" w:hAnsi="Arial" w:eastAsia="Arial" w:cs="Arial"/>
                <w:b/>
                <w:bCs/>
                <w:color w:val="000000"/>
                <w:position w:val="0"/>
                <w:sz w:val="20"/>
                <w:szCs w:val="20"/>
              </w:rPr>
              <w:t xml:space="preserve">Länderübersicht</w:t>
            </w:r>
            <w:r>
              <w:rPr>
                <w:rFonts w:ascii="Arial" w:hAnsi="Arial" w:eastAsia="Arial" w:cs="Arial"/>
                <w:color w:val="000000"/>
                <w:position w:val="0"/>
                <w:sz w:val="20"/>
                <w:szCs w:val="20"/>
              </w:rPr>
              <w:t xml:space="preserve">
geführt.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Vornahme von Zustellungen an Ausländer oder internationale
Organisationen, denen </w:t>
            </w:r>
            <w:r>
              <w:rPr>
                <w:rFonts w:ascii="Arial" w:hAnsi="Arial" w:eastAsia="Arial" w:cs="Arial"/>
                <w:b/>
                <w:bCs/>
                <w:color w:val="000000"/>
                <w:position w:val="0"/>
                <w:sz w:val="20"/>
                <w:szCs w:val="20"/>
              </w:rPr>
              <w:t xml:space="preserve">völkerrechtliche Privilegien und
Immunitäten</w:t>
            </w:r>
            <w:r>
              <w:rPr>
                <w:rFonts w:ascii="Arial" w:hAnsi="Arial" w:eastAsia="Arial" w:cs="Arial"/>
                <w:color w:val="000000"/>
                <w:position w:val="0"/>
                <w:sz w:val="20"/>
                <w:szCs w:val="20"/>
              </w:rPr>
              <w:t xml:space="preserve"> zustehen, ist jedenfalls unabhängig von ihrem
Aufenthaltsort oder Sitz die Vermittlung des Bundesministeriums für
Europa, Integration und Äußeres in Anspruch zu nehmen
</w:t>
            </w:r>
            <w:r>
              <w:rPr>
                <w:rFonts w:ascii="Arial" w:hAnsi="Arial" w:eastAsia="Arial" w:cs="Arial"/>
                <w:b/>
                <w:bCs/>
                <w:color w:val="000000"/>
                <w:position w:val="0"/>
                <w:sz w:val="20"/>
                <w:szCs w:val="20"/>
              </w:rPr>
              <w:t xml:space="preserve">(§ 11 Abs 2 ZustG)</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Zustellungen an Personen im Ausland, die nicht zu den
zuletzt aufgezählten Empfängern gehören, kann der Bundesminister
für Justiz im Einvernehmen mit dem Bundeskanzler durch Verordnung
die Zustellung durch die </w:t>
            </w:r>
            <w:r>
              <w:rPr>
                <w:rFonts w:ascii="Arial" w:hAnsi="Arial" w:eastAsia="Arial" w:cs="Arial"/>
                <w:b/>
                <w:bCs/>
                <w:color w:val="000000"/>
                <w:position w:val="0"/>
                <w:sz w:val="20"/>
                <w:szCs w:val="20"/>
              </w:rPr>
              <w:t xml:space="preserve">Post</w:t>
            </w:r>
            <w:r>
              <w:rPr>
                <w:rFonts w:ascii="Arial" w:hAnsi="Arial" w:eastAsia="Arial" w:cs="Arial"/>
                <w:color w:val="000000"/>
                <w:position w:val="0"/>
                <w:sz w:val="20"/>
                <w:szCs w:val="20"/>
              </w:rPr>
              <w:t xml:space="preserve"> unter Benützung der
im Weltpostverkehr üblichen </w:t>
            </w:r>
            <w:r>
              <w:rPr>
                <w:rFonts w:ascii="Arial" w:hAnsi="Arial" w:eastAsia="Arial" w:cs="Arial"/>
                <w:b/>
                <w:bCs/>
                <w:color w:val="000000"/>
                <w:position w:val="0"/>
                <w:sz w:val="20"/>
                <w:szCs w:val="20"/>
              </w:rPr>
              <w:t xml:space="preserve">Rückscheine</w:t>
            </w:r>
            <w:r>
              <w:rPr>
                <w:rFonts w:ascii="Arial" w:hAnsi="Arial" w:eastAsia="Arial" w:cs="Arial"/>
                <w:color w:val="000000"/>
                <w:position w:val="0"/>
                <w:sz w:val="20"/>
                <w:szCs w:val="20"/>
              </w:rPr>
              <w:t xml:space="preserve"> nach
denjenigen Staaten zulassen, </w:t>
            </w:r>
            <w:r>
              <w:rPr>
                <w:rFonts w:ascii="Arial" w:hAnsi="Arial" w:eastAsia="Arial" w:cs="Arial"/>
                <w:b/>
                <w:bCs/>
                <w:color w:val="000000"/>
                <w:position w:val="0"/>
                <w:sz w:val="20"/>
                <w:szCs w:val="20"/>
              </w:rPr>
              <w:t xml:space="preserve">in denen die Zustellung nach
§ 11 Abs 1 ZustG nicht möglich oder mit Schwierigkeiten
verbunden ist</w:t>
            </w:r>
            <w:r>
              <w:rPr>
                <w:rFonts w:ascii="Arial" w:hAnsi="Arial" w:eastAsia="Arial" w:cs="Arial"/>
                <w:color w:val="000000"/>
                <w:position w:val="0"/>
                <w:sz w:val="20"/>
                <w:szCs w:val="20"/>
              </w:rPr>
              <w:t xml:space="preserve"> (§ 121 Abs 1 ZPO). In diesem Sinne
wird aktuell die Zustellung durch die Post unter Benützung der im
Weltpostverkehr üblichen Rückscheine nach den Vereinigten Staaten
von Amerika, Argentinien, Bolivien, Brasilien, Ceylon, Chile, Costa
Rica, der Dominikanischen Republik, Ecuador, Guatemala, Haiti,
Republik Honduras, Indien, Jordanien, Kambodscha, Kuba, Laos,
Libanon, Libyen, Mexiko, Nikaragua, Pakistan, Panama, Paraguay,
Peru, El Salvador, Thailand, Uruguay und Venezuela zugelassen
</w:t>
            </w:r>
            <w:r>
              <w:rPr>
                <w:rFonts w:ascii="Arial" w:hAnsi="Arial" w:eastAsia="Arial" w:cs="Arial"/>
                <w:b/>
                <w:bCs/>
                <w:color w:val="000000"/>
                <w:position w:val="0"/>
                <w:sz w:val="20"/>
                <w:szCs w:val="20"/>
              </w:rPr>
              <w:t xml:space="preserve">(Verordnung des Bundesministeriums für Justiz vom 23.
Dezember 1960 über die Zustellung an Personen im Ausland durch die
Post im gerichtlichen Verfahren in bürgerlichen
Rechtsstreitigkeiten)</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w:t>
            </w:r>
            <w:r>
              <w:rPr>
                <w:rFonts w:ascii="Arial" w:hAnsi="Arial" w:eastAsia="Arial" w:cs="Arial"/>
                <w:b/>
                <w:bCs/>
                <w:color w:val="000000"/>
                <w:position w:val="0"/>
                <w:sz w:val="20"/>
                <w:szCs w:val="20"/>
              </w:rPr>
              <w:t xml:space="preserve">Vereinigten Staaten von
Amerika</w:t>
            </w:r>
            <w:r>
              <w:rPr>
                <w:rFonts w:ascii="Arial" w:hAnsi="Arial" w:eastAsia="Arial" w:cs="Arial"/>
                <w:color w:val="000000"/>
                <w:position w:val="0"/>
                <w:sz w:val="20"/>
                <w:szCs w:val="20"/>
              </w:rPr>
              <w:t xml:space="preserve"> war bislang auch auf den Erlass vom 25. Juni 2003
zur Neuregelung von zivilverfahrensrechtlichen Zustellungen in die
USA Bedacht zu nehmen, demzufolge Zustellersuchen ausländischer
Gerichte in Zivil- und Handelssachen in Zukunft von einem
beliehenen Unternehmen, der Process Forwarding International (PFI),
abgewickelt werden sollen, welche demnach ermächtigt ist, im Namen
der Vereinigten Staaten von Amerika Zustellersuchen in Empfang zu
nehmen, die Zustellung durchzuführen und den Zustellnachweis
auszustellen. Die Vereinigten Staaten von Amerika sind allerdings
auch Mitgliedstaat des </w:t>
            </w:r>
            <w:r>
              <w:rPr>
                <w:rFonts w:ascii="Arial" w:hAnsi="Arial" w:eastAsia="Arial" w:cs="Arial"/>
                <w:b/>
                <w:bCs/>
                <w:color w:val="000000"/>
                <w:position w:val="0"/>
                <w:sz w:val="20"/>
                <w:szCs w:val="20"/>
              </w:rPr>
              <w:t xml:space="preserve">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ein Land in der aufgrund § 121 Abs 1 ZPO
erlassenen Verordnung, die eine Liste jener Staaten enthält, in
denen die Zustellung unmittelbar durch die Post zugelassen ist,
nicht genannt, und ist eine unmittelbare Zustellung durch die Post
auch durch keine zwischenstaatliche Vereinbarung gestattet, so ist
eine solche nicht möglich (10 ObS 347/99y).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Liegen die Voraussetzungen für eine Zustellung mittels
internationalen Rückscheines iSd § 121 Abs 1 ZPO nicht
vor, wäre also gem § 11 Abs 1 ZustellG im Rechtshilfeweg
zuzustellen gewesen, ist eine dennoch mit internationalem
Rückschein vorgenommene Zustellung gesetzwidrig und (bis zur
allfälligen Heilung des Zustellungsmangels) unwirksam. Sie kann
daher auch die Rechtsmittelfrist nicht in Gang setzen (RIS-Justiz
RS0036474).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Staaten, im Verhältnis zu denen die Zustellung
durch die </w:t>
            </w:r>
            <w:r>
              <w:rPr>
                <w:rFonts w:ascii="Arial" w:hAnsi="Arial" w:eastAsia="Arial" w:cs="Arial"/>
                <w:b/>
                <w:bCs/>
                <w:color w:val="000000"/>
                <w:position w:val="0"/>
                <w:sz w:val="20"/>
                <w:szCs w:val="20"/>
              </w:rPr>
              <w:t xml:space="preserve">Post</w:t>
            </w:r>
            <w:r>
              <w:rPr>
                <w:rFonts w:ascii="Arial" w:hAnsi="Arial" w:eastAsia="Arial" w:cs="Arial"/>
                <w:color w:val="000000"/>
                <w:position w:val="0"/>
                <w:sz w:val="20"/>
                <w:szCs w:val="20"/>
              </w:rPr>
              <w:t xml:space="preserve"> in einer zwischenstaatlichen
Vereinbarung oder im Unionsrecht vorgesehen oder in einer
Verordnung des Bundesministers für Justiz gem § 121 Abs 1
ZPO für zulässig erklärt worden ist, sind solche Zustellungen
grundsätzlich aber nur dann wirksam, wenn das Zustellstück dem
Empfänger </w:t>
            </w:r>
            <w:r>
              <w:rPr>
                <w:rFonts w:ascii="Arial" w:hAnsi="Arial" w:eastAsia="Arial" w:cs="Arial"/>
                <w:b/>
                <w:bCs/>
                <w:color w:val="000000"/>
                <w:position w:val="0"/>
                <w:sz w:val="20"/>
                <w:szCs w:val="20"/>
              </w:rPr>
              <w:t xml:space="preserve">tatsächlich zugekommen ist</w:t>
            </w:r>
            <w:r>
              <w:rPr>
                <w:rFonts w:ascii="Arial" w:hAnsi="Arial" w:eastAsia="Arial" w:cs="Arial"/>
                <w:color w:val="000000"/>
                <w:position w:val="0"/>
                <w:sz w:val="20"/>
                <w:szCs w:val="20"/>
              </w:rPr>
              <w:t xml:space="preserve"> und – außer
bei entsprechenden Sprachkenntnissen des Empfängers bzw wenn die
Zustellung nicht bloß durch Übergabe des Geschäftsstückes an den
zur Annahme bereiten Empfänger durchgeführt werden soll (vgl 10 Ob
99/00g) – eine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angeschlossen war
(§ 33 Erlass vom 8. September 2020 über die internationale
Rechtshilfe und andere Rechtsbeziehungen mit dem Ausland in
Zivilsachen; </w:t>
            </w:r>
            <w:r>
              <w:rPr>
                <w:rFonts w:ascii="Arial" w:hAnsi="Arial" w:eastAsia="Arial" w:cs="Arial"/>
                <w:b/>
                <w:bCs/>
                <w:color w:val="000000"/>
                <w:position w:val="0"/>
                <w:sz w:val="20"/>
                <w:szCs w:val="20"/>
              </w:rPr>
              <w:t xml:space="preserve">RHE Ziv 2020</w:t>
            </w:r>
            <w:r>
              <w:rPr>
                <w:rFonts w:ascii="Arial" w:hAnsi="Arial" w:eastAsia="Arial" w:cs="Arial"/>
                <w:color w:val="000000"/>
                <w:position w:val="0"/>
                <w:sz w:val="20"/>
                <w:szCs w:val="20"/>
              </w:rPr>
              <w:t xml:space="preserve">). Nach Judikatur des
Obersten Gerichtshofes ist es mit einem fair geführten Verfahren
unvereinbar, wenn der Empfänger verfahrenseinleitende Schriftstücke
unmittelbar durch die Post zugestellt erhält, die nicht in seiner
Sprache abgefasst und auch nicht übersetzt sind; eine solche
Zustellung ist unwirksam (RIS-Justiz RS0110261). Das
Übersetzungserfordernis dient der Wahrung des rechtlichen Gehörs
des Beklagten oder Antragsgegners. Geheilt ist der Mangel der
fehlenden Übersetzung insbesondere dann, wenn der Beklagte oder
Antragsgegner den Inhalt eines in fremder Sprache abgefassten
Schriftstücks tatsächlich verstanden hat oder wenn er – als
Angehöriger des Absendestaates – der Landessprache mächtig sein
musste (10 Ob 99/00g). Diese Entscheidungen beziehen sich freilich
ausdrücklich nur auf die unmittelbar im Postweg vorgenommene
Zustellung. Diese Überlegungen gelten hingegen dann nicht, wenn der
Empfänger in Kenntnis seines Annahmeverweigerungsrechts gleichwohl
zur Annahme der fremdsprachigen, nicht übersetzten Schriftstücke
bereit ist. Bei der Zustellung im Rechtshilfeweg kann im Regelfall
davon ausgegangen werden, dass die ausländische Behörde den
Empfänger über sein Recht zur Annahmeverweigerung belehrt (6 Ob
190/05t). Aus dem Annahmeverweigerungsrecht (§12 Abs 2 ZustG)
ist jedenfalls zu folgern, dass der Adressat nicht verpflichtet
ist, auf seine Kosten für eine Übersetzung zu sorgen. Bei der
Postzustellung ist so lange von einer Annahmeverweigerung
auszugehen, so lange sich nicht das Gegenteil aus dem
Folgeverhalten des Zustellempfängers ergibt (3 Ob 229/06g).
Aufgrund eines – nach den Umständen des Einzelfalls zu
beurteilenden – Einlassens in das ausländische Verfahren kann
allerdings von einer Annahmebereitschaft iSd § 12 Abs 2
ZustG ausgegangen werden (3 Ob 229/06g).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Unterlaufen bei der Zustellung Mängel, so gilt sie gem § 7
ZustG als in dem Zeitpunkt bewirkt, in dem das Schriftstück dem von
der Behörde angegebenen Empfänger </w:t>
            </w:r>
            <w:r>
              <w:rPr>
                <w:rFonts w:ascii="Arial" w:hAnsi="Arial" w:eastAsia="Arial" w:cs="Arial"/>
                <w:b/>
                <w:bCs/>
                <w:color w:val="000000"/>
                <w:position w:val="0"/>
                <w:sz w:val="20"/>
                <w:szCs w:val="20"/>
              </w:rPr>
              <w:t xml:space="preserve">tatsächlich
zugekommen</w:t>
            </w:r>
            <w:r>
              <w:rPr>
                <w:rFonts w:ascii="Arial" w:hAnsi="Arial" w:eastAsia="Arial" w:cs="Arial"/>
                <w:color w:val="000000"/>
                <w:position w:val="0"/>
                <w:sz w:val="20"/>
                <w:szCs w:val="20"/>
              </w:rPr>
              <w:t xml:space="preserve"> ist (10 Ob 99/00g). Die Frage einer allfälligen
Heilung eines von einer österreichischen Behörde verfügten
Zustellvorganges richtet sich nach österreichischem Recht, wobei
die Heilung nach der Rechtsprechung des Obersten Gerichtshofes aber
auch dann eintreten kann, wenn das zuzustellende Schriftstück dem
Empfänger im Ausland tatsächlich zukommt (vgl EFSlg 46.982; 5 Ob
545/84; RIS-Justiz RS0036481 ua). Fraglich ist allerdings, ob eine
Heilung nach § 7 ZustG auch dann in Betracht kommt, wenn ein
Verstoß gegen ein in einem Staatsvertrag für ein bestimmtes
Schriftstück enthaltenes ausdrückliches Zustellverbot vorliegt (vgl
10 Ob 99/00g).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w:t>
            </w:r>
            <w:r>
              <w:rPr>
                <w:rFonts w:ascii="Arial" w:hAnsi="Arial" w:eastAsia="Arial" w:cs="Arial"/>
                <w:b/>
                <w:bCs/>
                <w:color w:val="000000"/>
                <w:position w:val="0"/>
                <w:sz w:val="20"/>
                <w:szCs w:val="20"/>
              </w:rPr>
              <w:t xml:space="preserve">internationaler Rückschein</w:t>
            </w:r>
            <w:r>
              <w:rPr>
                <w:rFonts w:ascii="Arial" w:hAnsi="Arial" w:eastAsia="Arial" w:cs="Arial"/>
                <w:color w:val="000000"/>
                <w:position w:val="0"/>
                <w:sz w:val="20"/>
                <w:szCs w:val="20"/>
              </w:rPr>
              <w:t xml:space="preserve"> ist eine
„Bestätigung über die erfolgte Zustellung“ im Sinne des
Zustellgesetzes (RIS-Justiz RS0102032).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die Bestätigung über die erfolgte Zustellung an eine im
Ausland befindliche Person binnen einer angemessenen Zeit nicht
einlangt, kann die betreibende Partei je nach Lage der Sache die
Zustellung durch </w:t>
            </w:r>
            <w:r>
              <w:rPr>
                <w:rFonts w:ascii="Arial" w:hAnsi="Arial" w:eastAsia="Arial" w:cs="Arial"/>
                <w:b/>
                <w:bCs/>
                <w:color w:val="000000"/>
                <w:position w:val="0"/>
                <w:sz w:val="20"/>
                <w:szCs w:val="20"/>
              </w:rPr>
              <w:t xml:space="preserve">öffentliche Bekanntmachung</w:t>
            </w:r>
            <w:r>
              <w:rPr>
                <w:rFonts w:ascii="Arial" w:hAnsi="Arial" w:eastAsia="Arial" w:cs="Arial"/>
                <w:color w:val="000000"/>
                <w:position w:val="0"/>
                <w:sz w:val="20"/>
                <w:szCs w:val="20"/>
              </w:rPr>
              <w:t xml:space="preserve">
(§ 25 ZustG) oder eine </w:t>
            </w:r>
            <w:r>
              <w:rPr>
                <w:rFonts w:ascii="Arial" w:hAnsi="Arial" w:eastAsia="Arial" w:cs="Arial"/>
                <w:b/>
                <w:bCs/>
                <w:color w:val="000000"/>
                <w:position w:val="0"/>
                <w:sz w:val="20"/>
                <w:szCs w:val="20"/>
              </w:rPr>
              <w:t xml:space="preserve">Kuratorbestellung nach
§ 116 ZPO</w:t>
            </w:r>
            <w:r>
              <w:rPr>
                <w:rFonts w:ascii="Arial" w:hAnsi="Arial" w:eastAsia="Arial" w:cs="Arial"/>
                <w:color w:val="000000"/>
                <w:position w:val="0"/>
                <w:sz w:val="20"/>
                <w:szCs w:val="20"/>
              </w:rPr>
              <w:t xml:space="preserve"> beantragen. Gleiches gilt auch für den
Fall, dass eine Zustellung im Ausland vergeblich versucht worden
ist oder das Ersuchen wegen offenkundiger Verweigerung der
Rechtshilfe durch die ausländische Behörde keinen Erfolg verspricht
</w:t>
            </w:r>
            <w:r>
              <w:rPr>
                <w:rFonts w:ascii="Arial" w:hAnsi="Arial" w:eastAsia="Arial" w:cs="Arial"/>
                <w:b/>
                <w:bCs/>
                <w:color w:val="000000"/>
                <w:position w:val="0"/>
                <w:sz w:val="20"/>
                <w:szCs w:val="20"/>
              </w:rPr>
              <w:t xml:space="preserve">(§ 121 Abs 2 ZPO)</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Parteien und Beteiligten, die über keine inländische
Abgabestelle verfügen, kann auch aufgetragen werden, innerhalb
einer Frist von mindestens zwei Wochen für bestimmte oder für alle
anhängigen oder anhängig zu machenden Verfahren einen
</w:t>
            </w:r>
            <w:r>
              <w:rPr>
                <w:rFonts w:ascii="Arial" w:hAnsi="Arial" w:eastAsia="Arial" w:cs="Arial"/>
                <w:b/>
                <w:bCs/>
                <w:color w:val="000000"/>
                <w:position w:val="0"/>
                <w:sz w:val="20"/>
                <w:szCs w:val="20"/>
              </w:rPr>
              <w:t xml:space="preserve">Zustellungsbevollmächtigten</w:t>
            </w:r>
            <w:r>
              <w:rPr>
                <w:rFonts w:ascii="Arial" w:hAnsi="Arial" w:eastAsia="Arial" w:cs="Arial"/>
                <w:color w:val="000000"/>
                <w:position w:val="0"/>
                <w:sz w:val="20"/>
                <w:szCs w:val="20"/>
              </w:rPr>
              <w:t xml:space="preserve"> </w:t>
            </w:r>
            <w:r>
              <w:rPr>
                <w:rFonts w:ascii="Arial" w:hAnsi="Arial" w:eastAsia="Arial" w:cs="Arial"/>
                <w:b/>
                <w:bCs/>
                <w:color w:val="000000"/>
                <w:position w:val="0"/>
                <w:sz w:val="20"/>
                <w:szCs w:val="20"/>
              </w:rPr>
              <w:t xml:space="preserve">namhaft zu
machen</w:t>
            </w:r>
            <w:r>
              <w:rPr>
                <w:rFonts w:ascii="Arial" w:hAnsi="Arial" w:eastAsia="Arial" w:cs="Arial"/>
                <w:color w:val="000000"/>
                <w:position w:val="0"/>
                <w:sz w:val="20"/>
                <w:szCs w:val="20"/>
              </w:rPr>
              <w:t xml:space="preserve">. Kommt die Partei bzw der Beteiligte diesem Auftrag
nicht fristgerecht nach, kann die Zustellung ohne Zustellnachweis
durch Übersendung der Dokumente an eine bekannte Zustelladresse
erfolgen. Ein übersandtes Dokument gilt zwei Wochen nach Übergabe
an den Zustelldienst als zugestellt. Auf diese Rechtsfolge ist im
Auftrag hinzuweisen </w:t>
            </w:r>
            <w:r>
              <w:rPr>
                <w:rFonts w:ascii="Arial" w:hAnsi="Arial" w:eastAsia="Arial" w:cs="Arial"/>
                <w:b/>
                <w:bCs/>
                <w:color w:val="000000"/>
                <w:position w:val="0"/>
                <w:sz w:val="20"/>
                <w:szCs w:val="20"/>
              </w:rPr>
              <w:t xml:space="preserve">(§ 10 Abs 1 ZustG)</w:t>
            </w:r>
            <w:r>
              <w:rPr>
                <w:rFonts w:ascii="Arial" w:hAnsi="Arial" w:eastAsia="Arial" w:cs="Arial"/>
                <w:color w:val="000000"/>
                <w:position w:val="0"/>
                <w:sz w:val="20"/>
                <w:szCs w:val="20"/>
              </w:rPr>
              <w:t xml:space="preserve">.
Eine solche Zustellung ist allerdings nicht mehr zulässig, sobald
die Partei einen Zustellungsbevollmächtigten namhaft gemacht hat
oder über eine inländische Abgabestelle verfügt und diese der
Behörde bekannt gegeben hat (§10 Abs 2 ZustG).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9977717" w:name="note15"/>
            <w:bookmarkEnd w:id="39977717"/>
            <w:bookmarkStart w:id="425221487730" w:name="note15"/>
            <w:r>
              <w:rPr>
                <w:rFonts w:ascii="Arial" w:hAnsi="Arial" w:eastAsia="Arial" w:cs="Arial"/>
                <w:b/>
                <w:bCs/>
                <w:color w:val="000000"/>
                <w:position w:val="0"/>
                <w:sz w:val="20"/>
                <w:szCs w:val="20"/>
              </w:rPr>
              <w:t xml:space="preserve">[15]</w:t>
            </w:r>
            <w:bookmarkEnd w:id="42522148773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Dass das Klagebegehren wie im vorliegenden Muster lediglich
äußerst knapp gehalten ist, ist möglich, idR empfiehlt es sich
aber, dieses ausführlicher darzulegen und die
</w:t>
            </w:r>
            <w:r>
              <w:rPr>
                <w:rFonts w:ascii="Arial" w:hAnsi="Arial" w:eastAsia="Arial" w:cs="Arial"/>
                <w:b/>
                <w:bCs/>
                <w:color w:val="000000"/>
                <w:position w:val="0"/>
                <w:sz w:val="20"/>
                <w:szCs w:val="20"/>
              </w:rPr>
              <w:t xml:space="preserve">Gründe</w:t>
            </w:r>
            <w:r>
              <w:rPr>
                <w:rFonts w:ascii="Arial" w:hAnsi="Arial" w:eastAsia="Arial" w:cs="Arial"/>
                <w:color w:val="000000"/>
                <w:position w:val="0"/>
                <w:sz w:val="20"/>
                <w:szCs w:val="20"/>
              </w:rPr>
              <w:t xml:space="preserve"> genauer auszuführen, aus denen nun die
Auflösung der eingetragenen Partnerschaft begehrt wird.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Entsprechend § 49 Abs 2 Z 2a JN gilt für
Verfahren in Partnerschaftssachen </w:t>
            </w:r>
            <w:r>
              <w:rPr>
                <w:rFonts w:ascii="Arial" w:hAnsi="Arial" w:eastAsia="Arial" w:cs="Arial"/>
                <w:b/>
                <w:bCs/>
                <w:color w:val="000000"/>
                <w:position w:val="0"/>
                <w:sz w:val="20"/>
                <w:szCs w:val="20"/>
              </w:rPr>
              <w:t xml:space="preserve">relative
Anwaltspflicht</w:t>
            </w:r>
            <w:r>
              <w:rPr>
                <w:rFonts w:ascii="Arial" w:hAnsi="Arial" w:eastAsia="Arial" w:cs="Arial"/>
                <w:color w:val="000000"/>
                <w:position w:val="0"/>
                <w:sz w:val="20"/>
                <w:szCs w:val="20"/>
              </w:rPr>
              <w:t xml:space="preserve"> (vgl § 43 Abs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Verhandlungen sind grundsätzlich </w:t>
            </w:r>
            <w:r>
              <w:rPr>
                <w:rFonts w:ascii="Arial" w:hAnsi="Arial" w:eastAsia="Arial" w:cs="Arial"/>
                <w:b/>
                <w:bCs/>
                <w:color w:val="000000"/>
                <w:position w:val="0"/>
                <w:sz w:val="20"/>
                <w:szCs w:val="20"/>
              </w:rPr>
              <w:t xml:space="preserve">nicht
öffentlich</w:t>
            </w:r>
            <w:r>
              <w:rPr>
                <w:rFonts w:ascii="Arial" w:hAnsi="Arial" w:eastAsia="Arial" w:cs="Arial"/>
                <w:color w:val="000000"/>
                <w:position w:val="0"/>
                <w:sz w:val="20"/>
                <w:szCs w:val="20"/>
              </w:rPr>
              <w:t xml:space="preserve"> (§ 460 Z 3 ZPO).</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Gerichtsgebühr</w:t>
            </w:r>
            <w:r>
              <w:rPr>
                <w:rFonts w:ascii="Arial" w:hAnsi="Arial" w:eastAsia="Arial" w:cs="Arial"/>
                <w:color w:val="000000"/>
                <w:position w:val="0"/>
                <w:sz w:val="20"/>
                <w:szCs w:val="20"/>
              </w:rPr>
              <w:t xml:space="preserve"> für das Verfahren erster
Instanz beläuft sich auf EUR 410,– (TP 1 Anm 9 GGG), für das
Verfahren zweiter Instanz auf EUR 449,– (TP 2 Anm 6 GGG) und
für das Verfahren dritter Instanz auf EUR 671,– (TP 3 Anm 6
GGG).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Bewertung nach dem </w:t>
            </w:r>
            <w:r>
              <w:rPr>
                <w:rFonts w:ascii="Arial" w:hAnsi="Arial" w:eastAsia="Arial" w:cs="Arial"/>
                <w:b/>
                <w:bCs/>
                <w:color w:val="000000"/>
                <w:position w:val="0"/>
                <w:sz w:val="20"/>
                <w:szCs w:val="20"/>
              </w:rPr>
              <w:t xml:space="preserve">RATG</w:t>
            </w:r>
            <w:r>
              <w:rPr>
                <w:rFonts w:ascii="Arial" w:hAnsi="Arial" w:eastAsia="Arial" w:cs="Arial"/>
                <w:color w:val="000000"/>
                <w:position w:val="0"/>
                <w:sz w:val="20"/>
                <w:szCs w:val="20"/>
              </w:rPr>
              <w:t xml:space="preserve"> entspricht
</w:t>
            </w:r>
            <w:r>
              <w:rPr>
                <w:rFonts w:ascii="Arial" w:hAnsi="Arial" w:eastAsia="Arial" w:cs="Arial"/>
                <w:b/>
                <w:bCs/>
                <w:color w:val="000000"/>
                <w:position w:val="0"/>
                <w:sz w:val="20"/>
                <w:szCs w:val="20"/>
              </w:rPr>
              <w:t xml:space="preserve">EUR 6.000,–</w:t>
            </w:r>
            <w:r>
              <w:rPr>
                <w:rFonts w:ascii="Arial" w:hAnsi="Arial" w:eastAsia="Arial" w:cs="Arial"/>
                <w:color w:val="000000"/>
                <w:position w:val="0"/>
                <w:sz w:val="20"/>
                <w:szCs w:val="20"/>
              </w:rPr>
              <w:t xml:space="preserve"> (§ 10 Z 4 lit a
RATG).</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 45a ZPO</w:t>
            </w:r>
            <w:r>
              <w:rPr>
                <w:rFonts w:ascii="Arial" w:hAnsi="Arial" w:eastAsia="Arial" w:cs="Arial"/>
                <w:color w:val="000000"/>
                <w:position w:val="0"/>
                <w:sz w:val="20"/>
                <w:szCs w:val="20"/>
              </w:rPr>
              <w:t xml:space="preserve"> sieht eine </w:t>
            </w:r>
            <w:r>
              <w:rPr>
                <w:rFonts w:ascii="Arial" w:hAnsi="Arial" w:eastAsia="Arial" w:cs="Arial"/>
                <w:b/>
                <w:bCs/>
                <w:color w:val="000000"/>
                <w:position w:val="0"/>
                <w:sz w:val="20"/>
                <w:szCs w:val="20"/>
              </w:rPr>
              <w:t xml:space="preserve">besondere
Kostenregelung</w:t>
            </w:r>
            <w:r>
              <w:rPr>
                <w:rFonts w:ascii="Arial" w:hAnsi="Arial" w:eastAsia="Arial" w:cs="Arial"/>
                <w:color w:val="000000"/>
                <w:position w:val="0"/>
                <w:sz w:val="20"/>
                <w:szCs w:val="20"/>
              </w:rPr>
              <w:t xml:space="preserve"> vor: Wird die Partnerschaft aufgelöst, ohne
dass der unterlegene Teil hieran schuldig ist, so sind die Kosten
gegeneinander aufzuheben. Hat eine Partei von den im § 43
Abs 1 letzter Satz ZPO angeführten Barauslagen mehr als die
Hälfte bestritten, so hat ihr der andere Ehegatte den Mehrbetrag zu
ersetzen. Im Übrigen ist auf die allgemeinen
Kostenersatzbestimmungen nach §§ 41 und 43 ZPO abzustellen,
die durch § 45a ZPO nur ergänzt, nicht aber verdrängt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Darüber hinaus finden sich noch weitere verfahrensrechtliche
Besonderheiten in </w:t>
            </w:r>
            <w:r>
              <w:rPr>
                <w:rFonts w:ascii="Arial" w:hAnsi="Arial" w:eastAsia="Arial" w:cs="Arial"/>
                <w:b/>
                <w:bCs/>
                <w:color w:val="000000"/>
                <w:position w:val="0"/>
                <w:sz w:val="20"/>
                <w:szCs w:val="20"/>
              </w:rPr>
              <w:t xml:space="preserve">§ 460 ZPO iVm § 43 Abs 1
EPG</w:t>
            </w:r>
            <w:r>
              <w:rPr>
                <w:rFonts w:ascii="Arial" w:hAnsi="Arial" w:eastAsia="Arial" w:cs="Arial"/>
                <w:color w:val="000000"/>
                <w:position w:val="0"/>
                <w:sz w:val="20"/>
                <w:szCs w:val="20"/>
              </w:rPr>
              <w:t xml:space="preserve">.</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8621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5112401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81846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635427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8776804">
    <w:multiLevelType w:val="hybridMultilevel"/>
    <w:lvl w:ilvl="0" w:tplc="79879619">
      <w:start w:val="1"/>
      <w:numFmt w:val="decimal"/>
      <w:lvlText w:val="%1."/>
      <w:lvlJc w:val="left"/>
      <w:pPr>
        <w:ind w:left="720" w:hanging="360"/>
      </w:pPr>
    </w:lvl>
    <w:lvl w:ilvl="1" w:tplc="79879619" w:tentative="1">
      <w:start w:val="1"/>
      <w:numFmt w:val="lowerLetter"/>
      <w:lvlText w:val="%2."/>
      <w:lvlJc w:val="left"/>
      <w:pPr>
        <w:ind w:left="1440" w:hanging="360"/>
      </w:pPr>
    </w:lvl>
    <w:lvl w:ilvl="2" w:tplc="79879619" w:tentative="1">
      <w:start w:val="1"/>
      <w:numFmt w:val="lowerRoman"/>
      <w:lvlText w:val="%3."/>
      <w:lvlJc w:val="right"/>
      <w:pPr>
        <w:ind w:left="2160" w:hanging="180"/>
      </w:pPr>
    </w:lvl>
    <w:lvl w:ilvl="3" w:tplc="79879619" w:tentative="1">
      <w:start w:val="1"/>
      <w:numFmt w:val="decimal"/>
      <w:lvlText w:val="%4."/>
      <w:lvlJc w:val="left"/>
      <w:pPr>
        <w:ind w:left="2880" w:hanging="360"/>
      </w:pPr>
    </w:lvl>
    <w:lvl w:ilvl="4" w:tplc="79879619" w:tentative="1">
      <w:start w:val="1"/>
      <w:numFmt w:val="lowerLetter"/>
      <w:lvlText w:val="%5."/>
      <w:lvlJc w:val="left"/>
      <w:pPr>
        <w:ind w:left="3600" w:hanging="360"/>
      </w:pPr>
    </w:lvl>
    <w:lvl w:ilvl="5" w:tplc="79879619" w:tentative="1">
      <w:start w:val="1"/>
      <w:numFmt w:val="lowerRoman"/>
      <w:lvlText w:val="%6."/>
      <w:lvlJc w:val="right"/>
      <w:pPr>
        <w:ind w:left="4320" w:hanging="180"/>
      </w:pPr>
    </w:lvl>
    <w:lvl w:ilvl="6" w:tplc="79879619" w:tentative="1">
      <w:start w:val="1"/>
      <w:numFmt w:val="decimal"/>
      <w:lvlText w:val="%7."/>
      <w:lvlJc w:val="left"/>
      <w:pPr>
        <w:ind w:left="5040" w:hanging="360"/>
      </w:pPr>
    </w:lvl>
    <w:lvl w:ilvl="7" w:tplc="79879619" w:tentative="1">
      <w:start w:val="1"/>
      <w:numFmt w:val="lowerLetter"/>
      <w:lvlText w:val="%8."/>
      <w:lvlJc w:val="left"/>
      <w:pPr>
        <w:ind w:left="5760" w:hanging="360"/>
      </w:pPr>
    </w:lvl>
    <w:lvl w:ilvl="8" w:tplc="79879619" w:tentative="1">
      <w:start w:val="1"/>
      <w:numFmt w:val="lowerRoman"/>
      <w:lvlText w:val="%9."/>
      <w:lvlJc w:val="right"/>
      <w:pPr>
        <w:ind w:left="6480" w:hanging="180"/>
      </w:pPr>
    </w:lvl>
  </w:abstractNum>
  <w:abstractNum w:abstractNumId="18759449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0995887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8776803">
    <w:multiLevelType w:val="hybridMultilevel"/>
    <w:lvl w:ilvl="0" w:tplc="14113405">
      <w:start w:val="1"/>
      <w:numFmt w:val="decimal"/>
      <w:lvlText w:val="%1."/>
      <w:lvlJc w:val="left"/>
      <w:pPr>
        <w:ind w:left="720" w:hanging="360"/>
      </w:pPr>
    </w:lvl>
    <w:lvl w:ilvl="1" w:tplc="14113405" w:tentative="1">
      <w:start w:val="1"/>
      <w:numFmt w:val="lowerLetter"/>
      <w:lvlText w:val="%2."/>
      <w:lvlJc w:val="left"/>
      <w:pPr>
        <w:ind w:left="1440" w:hanging="360"/>
      </w:pPr>
    </w:lvl>
    <w:lvl w:ilvl="2" w:tplc="14113405" w:tentative="1">
      <w:start w:val="1"/>
      <w:numFmt w:val="lowerRoman"/>
      <w:lvlText w:val="%3."/>
      <w:lvlJc w:val="right"/>
      <w:pPr>
        <w:ind w:left="2160" w:hanging="180"/>
      </w:pPr>
    </w:lvl>
    <w:lvl w:ilvl="3" w:tplc="14113405" w:tentative="1">
      <w:start w:val="1"/>
      <w:numFmt w:val="decimal"/>
      <w:lvlText w:val="%4."/>
      <w:lvlJc w:val="left"/>
      <w:pPr>
        <w:ind w:left="2880" w:hanging="360"/>
      </w:pPr>
    </w:lvl>
    <w:lvl w:ilvl="4" w:tplc="14113405" w:tentative="1">
      <w:start w:val="1"/>
      <w:numFmt w:val="lowerLetter"/>
      <w:lvlText w:val="%5."/>
      <w:lvlJc w:val="left"/>
      <w:pPr>
        <w:ind w:left="3600" w:hanging="360"/>
      </w:pPr>
    </w:lvl>
    <w:lvl w:ilvl="5" w:tplc="14113405" w:tentative="1">
      <w:start w:val="1"/>
      <w:numFmt w:val="lowerRoman"/>
      <w:lvlText w:val="%6."/>
      <w:lvlJc w:val="right"/>
      <w:pPr>
        <w:ind w:left="4320" w:hanging="180"/>
      </w:pPr>
    </w:lvl>
    <w:lvl w:ilvl="6" w:tplc="14113405" w:tentative="1">
      <w:start w:val="1"/>
      <w:numFmt w:val="decimal"/>
      <w:lvlText w:val="%7."/>
      <w:lvlJc w:val="left"/>
      <w:pPr>
        <w:ind w:left="5040" w:hanging="360"/>
      </w:pPr>
    </w:lvl>
    <w:lvl w:ilvl="7" w:tplc="14113405" w:tentative="1">
      <w:start w:val="1"/>
      <w:numFmt w:val="lowerLetter"/>
      <w:lvlText w:val="%8."/>
      <w:lvlJc w:val="left"/>
      <w:pPr>
        <w:ind w:left="5760" w:hanging="360"/>
      </w:pPr>
    </w:lvl>
    <w:lvl w:ilvl="8" w:tplc="14113405" w:tentative="1">
      <w:start w:val="1"/>
      <w:numFmt w:val="lowerRoman"/>
      <w:lvlText w:val="%9."/>
      <w:lvlJc w:val="right"/>
      <w:pPr>
        <w:ind w:left="6480" w:hanging="180"/>
      </w:pPr>
    </w:lvl>
  </w:abstractNum>
  <w:abstractNum w:abstractNumId="98776802">
    <w:multiLevelType w:val="hybridMultilevel"/>
    <w:lvl w:ilvl="0" w:tplc="367301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776802">
    <w:abstractNumId w:val="98776802"/>
  </w:num>
  <w:num w:numId="98776803">
    <w:abstractNumId w:val="98776803"/>
  </w:num>
  <w:num w:numId="209958875">
    <w:abstractNumId w:val="209958875"/>
  </w:num>
  <w:num w:numId="187594499">
    <w:abstractNumId w:val="187594499"/>
  </w:num>
  <w:num w:numId="98776804">
    <w:abstractNumId w:val="98776804"/>
  </w:num>
  <w:num w:numId="226354277">
    <w:abstractNumId w:val="226354277"/>
  </w:num>
  <w:num w:numId="838184658">
    <w:abstractNumId w:val="838184658"/>
  </w:num>
  <w:num w:numId="251124010">
    <w:abstractNumId w:val="251124010"/>
  </w:num>
  <w:num w:numId="8586211">
    <w:abstractNumId w:val="85862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06818561" Type="http://schemas.openxmlformats.org/officeDocument/2006/relationships/numbering" Target="numbering.xml"/><Relationship Id="rId346065266" Type="http://schemas.openxmlformats.org/officeDocument/2006/relationships/comments" Target="comments.xml"/><Relationship Id="rId68766a8b93a895bf1" Type="http://schemas.openxmlformats.org/officeDocument/2006/relationships/hyperlink" Target="https://www.hcch.net/de/instruments/conventions/status%20table/notifications/?csid=1062&amp;disp=resdn" TargetMode="External"/><Relationship Id="rId52916a8b93a896aec" Type="http://schemas.openxmlformats.org/officeDocument/2006/relationships/hyperlink" Target="https://www.hcch.net/en/instruments/conventions/status-table/?cid=17" TargetMode="External"/><Relationship Id="rId10896a8b93a896b55" Type="http://schemas.openxmlformats.org/officeDocument/2006/relationships/hyperlink" Target="https://www.hcch.net/de/instruments/conventions/status-table/?cid=17" TargetMode="External"/><Relationship Id="rId63196a8b93a896c2b" Type="http://schemas.openxmlformats.org/officeDocument/2006/relationships/hyperlink" Target="https://www.hcch.net/de/instruments/conventions/status-table/?cid=17" TargetMode="External"/><Relationship Id="rId59256a8b93a896dc4" Type="http://schemas.openxmlformats.org/officeDocument/2006/relationships/hyperlink" Target="https://www.hcch.net/en/instruments/conventions/status-table/?cid=17" TargetMode="External"/><Relationship Id="rId79026a8b93a896e10" Type="http://schemas.openxmlformats.org/officeDocument/2006/relationships/hyperlink" Target="https://www.hcch.net/en/instruments/conventions/status-table/notifications/?csid=1425&amp;disp=resdn" TargetMode="External"/><Relationship Id="rId53876a8b93a8970c8" Type="http://schemas.openxmlformats.org/officeDocument/2006/relationships/hyperlink" Target="mailto:team.z@bmj.gv.at" TargetMode="External"/><Relationship Id="rId79306a8b93a897386" Type="http://schemas.openxmlformats.org/officeDocument/2006/relationships/hyperlink" Target="https://assets.hcch.net/docs/eb40a6b3-c7c5-4433-bd4f-00d1edd0736c.pdf" TargetMode="External"/><Relationship Id="rId17946a8b93a8973a3" Type="http://schemas.openxmlformats.org/officeDocument/2006/relationships/hyperlink" Target="https://www.hcch.net/en/instruments/conventions/status-table/?cid=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