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8689392" w:name="document"/>
    <w:bookmarkEnd w:id="88689392"/>
    <w:p/>
    <w:p>
      <w:pPr>
        <w:widowControl w:val="on"/>
        <w:pBdr/>
        <w:spacing w:before="0" w:after="280" w:line="240" w:lineRule="auto"/>
        <w:ind w:left="0" w:right="0"/>
        <w:jc w:val="left"/>
      </w:pPr>
      <w:r>
        <w:rPr>
          <w:rFonts w:ascii="Arial" w:hAnsi="Arial" w:eastAsia="Arial" w:cs="Arial"/>
          <w:color w:val="363A40"/>
          <w:sz w:val="24"/>
          <w:szCs w:val="24"/>
        </w:rPr>
        <w:t xml:space="preserve">Dokument-ID: 1244372 | Brigitta Hülle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Scheidungsvergleich (gemeinsame Obsorge mit Doppelresidenz,
Fixunterhalt, Mietwohnung)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Dieses Muster stellt einen typischen Vergleich dar, wie er im Zuge
einer einvernehmlichen Ehescheidung nach § 55a EheG
abgeschlossen werden kann. Die konkrete Variante enthält neben
anderen üblichen Bestimmungen insbesondere im Unterhaltsbereich
einen Fixunterhalt mit Wertsicherungsklausel, im Obsorgebereich
gemeinsame Obsorge mit einer Doppelresidenz und hinsichtlich der
ehelichen Wohnung die Regelung der zukünftigen Nutzung einer
Mietwohnung. In den Anmerkungen wird aktuelle Judikatur zur
Doppelresidenz und dem so genannten „betreuungsrechtlichen
Unterhaltsmodell“ dargestellt.</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der Rechtskraft der einvernehmlichen Scheidung
schließen der Ehemann, Jerome Just, geb 15.05.1975, und die
Ehefrau, Jacqueline Just, geb 19.09.1976, nachstehenden</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Vergleich:</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1. Ehegattenunterhalt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Jerome Just, geb 15.05.1975, verpflichtet sich, zum
Unterhalt der Ehefrau Jacqueline Just, geb 19.09.1976, für die Zeit
von 01.11.2023 bis 31.05.2025 einen monatlichen Unterhalt von
EUR 650,– am Ersten eines jeden Monats im Vorhinein zu
bezahlen. Der vereinbarte Unterhalt wird anhand des VPI 2020
(Ausgangsindex der für den Monat der Rechtskraft der
einvernehmlichen Ehescheidung vereinbarte Indexwert) wertgesichert,
wobei Schwankungen bis zu 5 % nach oben oder unten
unberücksichtigt bleiben, sich nach Überschreiten dieser Schwelle
jedoch voll auswirken. Die Wertsicherung erfolgt dergestalt, dass
beginnend mit 2025 per Jänner der zu leistende Unterhaltsbetrag
anhand der für Dezember des abgelaufenen Jahres verlautbarten
Indexzahl angepasst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Sollte der angeführte Faktor nicht mehr veröffentlicht werden,
tritt an dessen Stelle sein Nachfolgefaktor. Wird kein solcher
Faktor mehr veröffentlicht, ist jener Indikator zu wählen, der dem
weggefallenen Faktor wirtschaftlich am nächsten kommt.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Vorbehaltlich der im Vorstehenden vereinbarten Wertsicherung
sowie des genannten Zeitraumes unterliegt der geschuldete Unterhalt
keinerlei Veränderungen, sondern es wird ohne Rücksicht auf die
Einkommens- und Vermögensverhältnisse beider Teile, Wegfall oder
Hin-zukommen weiterer Sorgepflichten, die Umstandsklausel gänzlich
ausgeschlossen.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Parteien verzichten darüber hinaus in Kenntnis der
einschlägigen Rechtsprechung des Obersten Gerichtshofes (3 Ob
229/98t; 6 Ob 163/04w; 7 Ob 98/05w, 6 Ob 2012/08g) und der
jeweiligen Einkommens- und Vermögensverhältnisse, wechselseitig auf
jegliche weiteren Unterhaltsansprüche aus welchem Titel auch immer.
Dies gilt auch für den Fall geänderter Verhältnisse, insbesondere
auch für den Fall der er-warteten oder unerwarteten, der
verschuldeten oder unverschuldeten sowie der bedachten oder derzeit
nicht bedachten Not oder Krankheit. Sie nehmen diesen
Unterhaltsverzicht wechselseitig an, der somit auch dann gilt, wenn
Ereignisse, die für die beiden heute nicht absehbar sind, die
Verhältnisse, welche diesem Unterhaltsverzicht zugrunde liegen,
wesentlich ändern.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und die Ehefrau erklären außerdem, wechselseitig auf
die Geltendmachung allenfalls gesetzter Eheverfehlungen zu
verzichten bzw diese einander mit Rechtskraft der Scheidung der
zwischen ihnen geschlossenen Ehe zu verzeihen. Beide erklären also,
auch in Zukunft aus einem allfälligen, bewusst nicht geprüften
Verschulden an der Zerrüttung der Ehe keine Rechtsfolgen ableiten
zu wollen.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Beide verzichten außerdem auf die Geltendmachung der
Sittenwidrigkeit eines allfälligen Beharrens des anderen Teils auf
dem Ausschluss der Umstandsklausel.</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den Fall einer Wiederverehelichung der Ehefrau erlischt der
sub 1.1 geregelte Unterhaltsanspruch mit dem auf die
Wiederverehelichung folgenden Monatsersten, für den Fall einer
Lebensgemeinschaft der Ehefrau ruht ihr Unterhaltsanspruch für die
Dauer derselben.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Unterhaltsrückstände welcher Art auch immer bestehen darüber
hinaus jedenfalls nicht.</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2. Gemeinsame mj Kinder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Obsorge für die mj Johanna Just, geb 01.09.2012, kommt auch
nach Durchführung der Ehescheidung beiden Elternteilen, also sowohl
der Kindesmutter, Jaqueline Just, geb 19.09.1976, als auch dem
Kindesvater, Jerome Just, geb 15.05.1975, zu.</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faktische Betreuung der Minderjährigen erfolgt durch beide
Elternteile im zeitlich gleichen Ausmaß (Doppelresidenz).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hauptsächliche Betreuung im Sinne der primären Wahrnehmung
jener Aufgaben, deren Grundlage ein bestimmter Aufenthalt der
Minderjährigen ist, also beispielsweise Bestimmung des gemeldeten
Hauptwohnsitzes, Familienbeihilfe oder Wohnbeihilfe, nicht jedoch
die Bestimmung des Wohnortes im In- und Ausland iSd § 162
Abs 2 ABGB, kommt der Kindesmutter zu.</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faktische Betreuung der Minderjährigen soll dergestalt
erfolgen, dass sich die Kindeseltern in der Betreuung jeweils
wochenweise abwechseln, dh beginnend mit der Rechtskraft der
einvernehmlichen Ehescheidung wird die Minderjährige in den geraden
Kalenderwochen von Montag (Schulschluss) bis zum Morgen des
folgenden Montages (Schulbeginn) von der Kindesmutter betreut; der
Kindesvater holt sie sodann am Montag (Schulschluss) ab, und die
Minderjährige wird dann die Zeit bis zum darauffolgenden Montag
(Schulbeginn) von ihm betreut.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Den Geburtstag der Minderjährigen sowie das Weihnachtsfest am
24.12. verbringen die Kindeseltern gemeinsam mit ihr. Hinsichtlich
der übrigen Ferienzeiten und Feiertage kommen die Kindeseltern
überein, diese mit Rücksicht aufeinander und die Bedürfnisse des
Kindes beachtend dergestalt aufzuteilen, dass die Minderjährige
diese je zur Hälfte beim Kindesvater und der Kindesmutter
verbringt.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Kindeseltern kommen überein, jeweils bis zum 31.12. eines
jeden Jahres einvernehmlich einen Betreuungsplan über die
Ferienzeiten des darauffolgenden Jahres zu erarbeiten. Sollte solch
ein Betreuungsplan nicht zustande kommen, ist der Kindesvater
berechtigt, die Minderjährige in den Weihnachtsferien am 25.12.,
9:00 Uhr bis 19:00 Uhr, sowie jährlich alternierend von 27.12.
morgens bis 01.01. mittags bzw 01.01. mittags bis 06.01. abends die
Hälfte der verbleibenden Ferientage (beginnend 2023/2024 von
27.12.2023, 9:00 Uhr, bis 01.01.2024 mittags), sowie in den geraden
Jahren in den Osterferien, in den ungeraden Jahren in den
Semesterferien, die jeweils erste Hälfe der Herbstferien, sowie
vier Wochen in den Sommerferien (die ersten zwei Juli- sowie die
ersten zwei Augustwochen) zu sich zu nehmen.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Ansehung des Kindesunterhalts der mj Johanna Just, geb
01.09.2012, halten die Kindeseltern fest, dass sie derzeit aufgrund
der obigen Betreuungsregelung die Minderjährige zu gleichen Teilen
in ihren Haushalten betreuen und über ein annähernd gleich hohes
Einkommen verfügen. Demnach ist jeder Elternteil verpflichtet, die
während seiner Betreuungszeit anfallenden Aufwendungen aus Eigenem
zu tragen.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Darüber hinaus vereinbaren die Kindeseltern, dass längerfristige
Aufwendungen bzw Investitionen (Sportbekleidung,
Nachmittagsbetreuung, Hobbys, Brille etc) von ihnen grundsätzlich
gleichfalls zu gleichen Teilen getragen werden. Eine Ausstattung an
grundlegenden von der Minderjährigen im Alltag benötigten Dingen
(va Alltagsbekleidung) hat jedoch jeder Elternteil bei sich und
führt diese auf eigene Kosten.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Sie vereinbaren daher, dass die über den täglichen Bedarf
hinausgehenden Bedürfnisse der Minderjährigen jeweils im Jänner des
Folgejahres unter Berücksichtigung der weiter von der Kindesmutter
bezogenen Transferleistungen (Familienbeihilfe und
Kinderabsetzbetrag jeweils hälftig abgerechnet werden. Die
Kindeseltern haben zu diesem Zweck dem jeweils anderen
Aufstellungen über die getätigten längerlebigen Anschaffungen (mit
Ausnahme der obstehend erwähnten Grundausstattung, die jeder
Elternteil auf seine eigenen Kosten führt) unter Anschluss der
Belege zur Verfügung zu stellen und der ermittelte
Zahlungsausgleich hat dann jeweils bis längstens 31.03. für das
Vorjahr zu erfolgen.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Etwaiger Sonderbedarf wird von den Kindeseltern darüber hinaus
nach den von der Judikatur entwickelten Grundsätzen gleichfalls
jeweils hälftig getragen.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einer Neubemessung des Unterhalts wird der jeweils
gesetzliche Unterhalt (§ 231 ABGB) geschuldet.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Eltern haben vor Durchführung der einvernehmlichen
Ehescheidung das Elternberatungsgespräch gem § 95 Abs 1a
AußStrG in Anspruch genommen.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3. Ehewohnung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es sich bei der Ehewohnung in 1120 Wien,
Bernhardstraße 24/24 um eine Mietwohnung handelt, deren Mieter
beide Ehegatten sind. Die Ehefrau tritt mit Rechtskraft der
einvernehmlichen Ehescheidung entsprechend der Bestimmung des
§ 12 MRG ihre Mitmietrechte an dieser Wohnung an den Ehemann
ab und verpflichtet sich, über Aufforderung des Ehemannes umgehend,
längstens jedoch binnen 7 Tagen, alle allenfalls erforderlichen
weiteren Erklärungen abzugeben, damit der Ehemann alleiniger Mieter
der bisherigen Ehewohnung wird.</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Für den Fall, dass seitens des Vermieters der Ehewohnung die
Zustimmung zur alleinigen Fortsetzung des Mietverhältnisses durch
den Ehemann nicht erteilt werden sollte, behalten sich die
Ehegatten eine Antragstellung analog nach § 98 EheG vor.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verpflichtet sich, sämtliche Kosten für die eheliche
Wohnung ab 01.11.2023 allein zu tragen und die Ehefrau gegen jede
Inanspruchnahme vollständig schad- und klaglos zu halten.
Festgehalten wird, dass kein Mietzinsrückstand besteht.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Ehefrau verpflichtet sich, bis längstens 15.10.2023 aus der
vorgenannten Wohnung unter Mitnahme ihrer persönlichen Fahrhabe
sowie unter Verzicht auf Räumungsaufschub, auszuziehen. Sie
verzichtet gegenüber dem Ehemann auf alle wie immer gearteten
Ansprüche hinsichtlich des obgenannten Objektes und anerkennt das
alleinige Eigentumsrecht des Ehemannes an sämtlichen in der
vorgenannten Ehewohnung befindlichen Einrichtungsgegenständen und
sonstigen Fahrnissen, mit Ausnahme der in der einen integrierenden
Bestandteil dieses Vergleiches bildenden Inventarliste (Annex A)
angeführten Fahrnisse, hinsichtlich welcher der Ehemann das
alleinige Eigentumsrecht der Ehefrau anerkennt. Die Ehefrau
verpflichtet sich, auch die ihr entsprechend dieser Inventarliste
zukommenden Fahrnisse bis längstens 15.10.2023 aus der vormaligen
Ehewohnung zu räumen, widrigenfalls sie in das alleinige
Eigentumsrecht des Ehemannes übergehen.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4. Pkw</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Ehemann überträgt sein Eigentumsrecht am Pkw Ford Galaxy,
mit dem polizeilichen Kennzeichen W-70939X, an die Ehefrau und
verpflichtet sich, binnen acht Tagen ab Rechtskraft der
Ehescheidung alle Erklärungen abzugeben, die allenfalls für die
Übertragung dieses Pkws in das Eigentum der Ehefrau erforderlich
sein sollten.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weiters auf den Namen des Ehemannes zugelassene Pkw BMX X5
mit dem polizeilichen Kennzeichen W-JERO1 verbleibt diesem.</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5. Konto</w:t>
      </w:r>
    </w:p>
    <w:p>
      <w:pPr>
        <w:widowControl w:val="on"/>
        <w:pBdr/>
        <w:spacing w:before="140" w:after="240" w:line="288" w:lineRule="auto"/>
        <w:ind w:left="0" w:right="0"/>
        <w:jc w:val="left"/>
      </w:pPr>
      <w:r>
        <w:rPr>
          <w:rFonts w:ascii="Arial" w:hAnsi="Arial" w:eastAsia="Arial" w:cs="Arial"/>
          <w:color w:val="000000"/>
          <w:sz w:val="20"/>
          <w:szCs w:val="20"/>
        </w:rPr>
        <w:t xml:space="preserve">Das auf beide Ehegatten lautende Konto Nr 364194900 bei der
ERSTE Bank mit einem Saldo von rund EUR 1.520,– wird auf den
Ehemann allein übertragen. Er verpflichtet sich, den offenen Saldo
allein zurück zu zahlen und die Ehefrau gegen jede Inanspruchnahme
vollständig schad- und klaglos zu halten.</w:t>
      </w:r>
    </w:p>
    <w:p>
      <w:pPr>
        <w:widowControl w:val="on"/>
        <w:pBdr/>
        <w:spacing w:before="140" w:after="240" w:line="288" w:lineRule="auto"/>
        <w:ind w:left="0" w:right="0"/>
        <w:jc w:val="left"/>
      </w:pPr>
      <w:r>
        <w:rPr>
          <w:rFonts w:ascii="Arial" w:hAnsi="Arial" w:eastAsia="Arial" w:cs="Arial"/>
          <w:color w:val="000000"/>
          <w:sz w:val="20"/>
          <w:szCs w:val="20"/>
        </w:rPr>
        <w:t xml:space="preserve">Die Ehefrau verzichtet ihrerseits auf alle Ansprüche
hinsichtlich dieses Kontos und verpflichtet sich, binnen 14 Tagen
ab Rechtskraft der Ehescheidung alle erforderlichen Erklärungen
abzugeben, die notwendig sind, damit das genannte Konto künftig dem
Ehemann allein zukommt.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6. Ersparnisse, sonstige Vermögenswerte</w:t>
      </w:r>
    </w:p>
    <w:p>
      <w:pPr>
        <w:widowControl w:val="on"/>
        <w:pBdr/>
        <w:spacing w:before="140" w:after="240" w:line="288" w:lineRule="auto"/>
        <w:ind w:left="0" w:right="0"/>
        <w:jc w:val="left"/>
      </w:pPr>
      <w:r>
        <w:rPr>
          <w:rFonts w:ascii="Arial" w:hAnsi="Arial" w:eastAsia="Arial" w:cs="Arial"/>
          <w:color w:val="000000"/>
          <w:sz w:val="20"/>
          <w:szCs w:val="20"/>
        </w:rPr>
        <w:t xml:space="preserve">Darüber hinausgehende Ersparnisse oder darüber hinausgehendes
Vermögen verbleiben demjenigen, auf dessen Namen sie lauten oder in
dessen Besitz sie sich befinden.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7. Verbindlichkeiten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nach den übereinstimmenden Angaben des
Ehemannes und der Ehefrau keine Kredite oder sonstigen
Verbindlichkeiten bestehen, für die beide Ehegatten gemeinsam
haften.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8. Kosten und Gebühren</w:t>
      </w:r>
    </w:p>
    <w:p>
      <w:pPr>
        <w:widowControl w:val="on"/>
        <w:pBdr/>
        <w:spacing w:before="140" w:after="240" w:line="288" w:lineRule="auto"/>
        <w:ind w:left="0" w:right="0"/>
        <w:jc w:val="left"/>
      </w:pPr>
      <w:r>
        <w:rPr>
          <w:rFonts w:ascii="Arial" w:hAnsi="Arial" w:eastAsia="Arial" w:cs="Arial"/>
          <w:color w:val="000000"/>
          <w:sz w:val="20"/>
          <w:szCs w:val="20"/>
        </w:rPr>
        <w:t xml:space="preserve">Die Gebühren der einvernehmlichen Scheidung trägt im
Innenverhältnis der Ehemann allein, der die Ehefrau gegen jegliche
Inanspruchnahme schad- und klaglos hält. Die Kosten anwaltlicher
Vertretung trägt jeder Teil selbst, wobei sich aber der Ehemann
verpflichtet, an die Ehefrau einen Kostenbeitrag für die Erstellung
des Scheidungsvergleiches von EUR 1.800,– inkl 20 % USt,
(ds EUR 300,–) zu Handen deren Rechtsvertretung binnen 14
Tagen ab Rechtskraft der Ehescheidung zu zahlen.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9. Generalklausel</w:t>
      </w:r>
    </w:p>
    <w:p>
      <w:pPr>
        <w:widowControl w:val="on"/>
        <w:pBdr/>
        <w:spacing w:before="140" w:after="240" w:line="288" w:lineRule="auto"/>
        <w:ind w:left="0" w:right="0"/>
        <w:jc w:val="left"/>
      </w:pPr>
      <w:r>
        <w:rPr>
          <w:rFonts w:ascii="Arial" w:hAnsi="Arial" w:eastAsia="Arial" w:cs="Arial"/>
          <w:color w:val="000000"/>
          <w:sz w:val="20"/>
          <w:szCs w:val="20"/>
        </w:rPr>
        <w:t xml:space="preserve">Mit der Erfüllung dieses Vergleiches sind alle wechselseitigen
Ansprüche der Ehegatten betreffend Unterhalt und Teilung ehelichen
Vermögens endgültig bereinigt und verglichen.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verzichten auf Antragstellung nach §§ 81 ff
EheG, §§ 98 ff ABGB und diesbezügliche Ansprüche.</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Jerome Just, geb 15.05.1975</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Jacqueline Just, geb 19.09.1976</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Frage der Wertsicherung von vereinbarten Unterhaltsleistungen
bzw konkret von vereinbarten Fixunterhaltsleistu8ngen, die
ansonsten keiner Änderung unterliegen sollen, ist eine derzeit
nicht einfach zu lösende. Auf Seiten der unterhaltsberechtigten
Person erscheint in der gegenwärtigen Lage eine Wertsicherung des
geschuldeten Unterhaltes zum Erhalt dessen inneren Wertes geradezu
zwingend; umgekehrt können sich durch unvorhersehbare Entwicklungen
der Anpassungsfaktoren für die Unterhalt leistende Person in der
Zukunft aus heutiger Sicht unvorhersehbare Mehrbelastungen
ergeben.</w:t>
      </w:r>
    </w:p>
    <w:p>
      <w:pPr>
        <w:widowControl w:val="on"/>
        <w:pBdr/>
        <w:spacing w:before="140" w:after="240" w:line="288" w:lineRule="auto"/>
        <w:ind w:left="0" w:right="0"/>
        <w:jc w:val="left"/>
      </w:pPr>
      <w:r>
        <w:rPr>
          <w:rFonts w:ascii="Arial" w:hAnsi="Arial" w:eastAsia="Arial" w:cs="Arial"/>
          <w:color w:val="000000"/>
          <w:sz w:val="20"/>
          <w:szCs w:val="20"/>
        </w:rPr>
        <w:t xml:space="preserve">In der Praxis gängig sind Wertsicherungen entlang des
Verbraucherpreisindexes (VIPI) sowie des Pensionsanpassungsfaktors
nach dem ASVG (PAF).</w:t>
      </w:r>
    </w:p>
    <w:p>
      <w:pPr>
        <w:widowControl w:val="on"/>
        <w:pBdr/>
        <w:spacing w:before="140" w:after="240" w:line="288" w:lineRule="auto"/>
        <w:ind w:left="0" w:right="0"/>
        <w:jc w:val="left"/>
      </w:pPr>
      <w:r>
        <w:rPr>
          <w:rFonts w:ascii="Arial" w:hAnsi="Arial" w:eastAsia="Arial" w:cs="Arial"/>
          <w:color w:val="000000"/>
          <w:sz w:val="20"/>
          <w:szCs w:val="20"/>
        </w:rPr>
        <w:t xml:space="preserve">Die jeweiligen Indexwerte des VPI werden auf der Website der
Statistik Austria veröffentlicht, auf welcher sich auch ein
Indexrechner sowie ein Schwellenwertrechner finden (</w:t>
      </w:r>
      <w:hyperlink r:id="rId19246a8b9d0b4f417" w:history="1">
        <w:r>
          <w:rPr>
            <w:rFonts w:ascii="Arial" w:hAnsi="Arial" w:eastAsia="Arial" w:cs="Arial"/>
            <w:color w:val="006BB6"/>
            <w:sz w:val="20"/>
            <w:szCs w:val="20"/>
          </w:rPr>
          <w:t xml:space="preserve">https://www.statistik.at/Indexrechner/</w:t>
        </w:r>
      </w:hyperlink>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Der Pensionsanpassungsfaktor wird grundsätzlich jedes Jahr vom
Bundesminister für soziale Sicherheit, Generationen und
Konsumentenschutz für das folgende Kalenderjahr bis spätestens
31.10. eines jeden Jahres durch Verordnung festzusetzen (§ 108
Abs 5 ASVG; § 108f ASVG).</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führte in der Vergangenheit eine Wertsicherung
entlang des PAF zu niedrigeren Erhöhungen als nach dem VPI. Ob dies
für die Zukunft so bleiben wird ist fraglich. Jedenfalls hinkt die
Anpassung der Pensionen der Entwicklung der Verbraucherpreise
allerdings regelmäßig hinterher.</w:t>
      </w:r>
    </w:p>
    <w:p>
      <w:pPr>
        <w:widowControl w:val="on"/>
        <w:pBdr/>
        <w:spacing w:before="140" w:after="240" w:line="288" w:lineRule="auto"/>
        <w:ind w:left="0" w:right="0"/>
        <w:jc w:val="left"/>
      </w:pPr>
      <w:r>
        <w:rPr>
          <w:rFonts w:ascii="Arial" w:hAnsi="Arial" w:eastAsia="Arial" w:cs="Arial"/>
          <w:color w:val="000000"/>
          <w:sz w:val="20"/>
          <w:szCs w:val="20"/>
        </w:rPr>
        <w:t xml:space="preserve">Zu berücksichtigen ist wohl, dass eine Wertsicherung entlang des
VPI im Falle sinkender Verbraucherpreise theoretisch auch zu einer
Verringerung des geschuldeten Unterhaltes führen könnte. Dies
trifft bei einer Wertsicherung entlang des PAF an sich nicht zu.
Vereinbart werden können aber auch so genannte Schwellenklauseln,
dass also eine Wertscherung erst bei einem bestimmten
prozentmäßigen Überschreiten des Ausgangswertes bzw –index
eintreten soll.</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Gem § 179 Abs 1 ABGB bleibt bei Auflösung der häuslichen
Gemeinschaft der Eltern eines minderjährigen Kindes (nunmehr) die
Obsorge beider Eltern aufrecht. Die Eltern haben aber nach
§ 179 Abs 2 ABGB vor Gericht eine Vereinbarung darüber zu
schließen, in wessen Haushalt das Kind hauptsächlich betreut wird.
Kommt es binnen angemessener Frist zu keiner derartigen
Vereinbarung, so hat das Gericht nach § 180 Abs 1 Satz 1
Z 1 ABGB von Amts wegen und auch ohne Kindeswohlgefährdung
über eine allfällige Änderung der Obsorge zu entscheiden oder bei
aufrecht bleibender Betreuung beider Elternteile mit der Obsorge
jenen Elternteil zu bestimmen, in dessen Haushalt das Kind
hauptsächlich betreut werden soll. Dies gilt im Hinblick auf
§ 180 Abs 1 Satz 1 Z 2 ABGB auch für jene Fälle, in
denen ein Elternteil gegen den Willen des anderen die Betrauung mit
der Alleinobsorge anstrebt oder beide Elternteile jeweils allein
obsorgeberechtigt sein wollen (6 Ob 41/13t; 3 Ob 103/13p).</w:t>
      </w:r>
    </w:p>
    <w:p>
      <w:pPr>
        <w:widowControl w:val="on"/>
        <w:pBdr/>
        <w:spacing w:before="140" w:after="240" w:line="288" w:lineRule="auto"/>
        <w:ind w:left="0" w:right="0"/>
        <w:jc w:val="left"/>
      </w:pPr>
      <w:r>
        <w:rPr>
          <w:rFonts w:ascii="Arial" w:hAnsi="Arial" w:eastAsia="Arial" w:cs="Arial"/>
          <w:color w:val="000000"/>
          <w:sz w:val="20"/>
          <w:szCs w:val="20"/>
        </w:rPr>
        <w:t xml:space="preserve">Nach der neuen Rechtslage soll die Obsorge beider Elternteile
eher der Regelfall sein (3 Ob 103/13p; 8 Ob 7/15k). Besteht also
eine „normale“ familiäre Situation zwischen den Eltern und auch
zwischen den Eltern und dem Kind, so gelangt dieser Grundsatz zur
Anwendung (vgl 6 Ob 41/13t).</w:t>
      </w:r>
    </w:p>
    <w:p>
      <w:pPr>
        <w:widowControl w:val="on"/>
        <w:pBdr/>
        <w:spacing w:before="140" w:after="240" w:line="288" w:lineRule="auto"/>
        <w:ind w:left="0" w:right="0"/>
        <w:jc w:val="left"/>
      </w:pPr>
      <w:r>
        <w:rPr>
          <w:rFonts w:ascii="Arial" w:hAnsi="Arial" w:eastAsia="Arial" w:cs="Arial"/>
          <w:color w:val="000000"/>
          <w:sz w:val="20"/>
          <w:szCs w:val="20"/>
        </w:rPr>
        <w:t xml:space="preserve">Von einer Doppelresidenz spricht man nun, wenn die Eltern eines
Kindes nicht im gemeinsamen Haushalt leben und das Kind sowohl bei
der Mutter als auch beim Vater wohnt, indem es in etwa gleichen
Zeiträumen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Doppelresidenz aus obsorge-
und kontaktrechtlicher Sicht, EF-Z 2019, 250;
</w:t>
      </w:r>
      <w:r>
        <w:rPr>
          <w:rFonts w:ascii="Arial" w:hAnsi="Arial" w:eastAsia="Arial" w:cs="Arial"/>
          <w:i/>
          <w:iCs/>
          <w:color w:val="000000"/>
          <w:sz w:val="20"/>
          <w:szCs w:val="20"/>
        </w:rPr>
        <w:t xml:space="preserve">Barth-Richtarz</w:t>
      </w:r>
      <w:r>
        <w:rPr>
          <w:rFonts w:ascii="Arial" w:hAnsi="Arial" w:eastAsia="Arial" w:cs="Arial"/>
          <w:color w:val="000000"/>
          <w:sz w:val="20"/>
          <w:szCs w:val="20"/>
        </w:rPr>
        <w:t xml:space="preserve">, „Doppelresidenz“ – ein ideales Modell für
Kinder?, iFamZ 2009, 129) bzw annähernd gleichmäßig (LG Salzburg
EFSlg 163.037) von beiden Eltern betreut wird.</w:t>
      </w:r>
    </w:p>
    <w:p>
      <w:pPr>
        <w:widowControl w:val="on"/>
        <w:pBdr/>
        <w:spacing w:before="140" w:after="240" w:line="288" w:lineRule="auto"/>
        <w:ind w:left="0" w:right="0"/>
        <w:jc w:val="left"/>
      </w:pPr>
      <w:r>
        <w:rPr>
          <w:rFonts w:ascii="Arial" w:hAnsi="Arial" w:eastAsia="Arial" w:cs="Arial"/>
          <w:color w:val="000000"/>
          <w:sz w:val="20"/>
          <w:szCs w:val="20"/>
        </w:rPr>
        <w:t xml:space="preserve">Diesbezüglich wurde vonseiten des VfGH klargestellt, dass es
unverhältnismäßig wäre, wenn das Gesetz die Festlegung einer
Doppelresidenz, also die Festlegung einer gleichteiligen Betreuung,
kategorisch ausschließen würde, weil unter bestimmten
Voraussetzungen ein Wandelmodell dem Kindeswohl besser entsprechen
könne als ein Heim erster Ordnung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252). Im Sinne einer verfassungskonformen Interpretation soll
daher die Formulierung „hauptsächliche Betreuung“ in jenen Fällen,
in denen eine Doppelresidenz dem Kindeswohl am besten entspricht,
nicht wörtlich, sondern nur als Anknüpfungspunkt für verschiedene
Rechtsfolgen verstanden werden (VfGH 9.10.2015, G 152/2015).</w:t>
      </w:r>
    </w:p>
    <w:p>
      <w:pPr>
        <w:widowControl w:val="on"/>
        <w:pBdr/>
        <w:spacing w:before="140" w:after="240" w:line="288" w:lineRule="auto"/>
        <w:ind w:left="0" w:right="0"/>
        <w:jc w:val="left"/>
      </w:pPr>
      <w:r>
        <w:rPr>
          <w:rFonts w:ascii="Arial" w:hAnsi="Arial" w:eastAsia="Arial" w:cs="Arial"/>
          <w:color w:val="000000"/>
          <w:sz w:val="20"/>
          <w:szCs w:val="20"/>
        </w:rPr>
        <w:t xml:space="preserve">Die Doppelresidenz soll jedoch ein Ausnahmefall und kein
Regelmodell sein (vgl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253).
Eine Doppelresidenz kommt also nur bei Vorliegen besonderer
Umstände in Betracht (LG Linz EFSlg 163.038). Sie soll vor allem
dann denkbar sein, wenn das Kind durch die gleiteilige Betreuung
nicht in seinem Lebensmittelpunkt zerrissen wird, beide Eltern
schon zuvor die mit der Kinderbetreuung verbundenen Aufgaben und
Lasten im Wesentlichen gemeinsam getragen haben und auch nach der
Trennung noch eine ausreichend gute Kommunikationsbasis besteht
(</w:t>
      </w:r>
      <w:r>
        <w:rPr>
          <w:rFonts w:ascii="Arial" w:hAnsi="Arial" w:eastAsia="Arial" w:cs="Arial"/>
          <w:i/>
          <w:iCs/>
          <w:color w:val="000000"/>
          <w:sz w:val="20"/>
          <w:szCs w:val="20"/>
        </w:rPr>
        <w:t xml:space="preserve">Kathrein</w:t>
      </w:r>
      <w:r>
        <w:rPr>
          <w:rFonts w:ascii="Arial" w:hAnsi="Arial" w:eastAsia="Arial" w:cs="Arial"/>
          <w:color w:val="000000"/>
          <w:sz w:val="20"/>
          <w:szCs w:val="20"/>
        </w:rPr>
        <w:t xml:space="preserve">, ÖJZ 2013, 204).</w:t>
      </w:r>
    </w:p>
    <w:p>
      <w:pPr>
        <w:widowControl w:val="on"/>
        <w:pBdr/>
        <w:spacing w:before="140" w:after="240" w:line="288" w:lineRule="auto"/>
        <w:ind w:left="0" w:right="0"/>
        <w:jc w:val="left"/>
      </w:pPr>
      <w:r>
        <w:rPr>
          <w:rFonts w:ascii="Arial" w:hAnsi="Arial" w:eastAsia="Arial" w:cs="Arial"/>
          <w:color w:val="000000"/>
          <w:sz w:val="20"/>
          <w:szCs w:val="20"/>
        </w:rPr>
        <w:t xml:space="preserve">Der OGH hat sich in der Folge der Gesetzesauslegung durch den
VfGH angeschlossen (3 Ob 121/16i; 6 Ob 149/16d).</w:t>
      </w:r>
    </w:p>
    <w:p>
      <w:pPr>
        <w:widowControl w:val="on"/>
        <w:pBdr/>
        <w:spacing w:before="140" w:after="240" w:line="288" w:lineRule="auto"/>
        <w:ind w:left="0" w:right="0"/>
        <w:jc w:val="left"/>
      </w:pPr>
      <w:r>
        <w:rPr>
          <w:rFonts w:ascii="Arial" w:hAnsi="Arial" w:eastAsia="Arial" w:cs="Arial"/>
          <w:color w:val="000000"/>
          <w:sz w:val="20"/>
          <w:szCs w:val="20"/>
        </w:rPr>
        <w:t xml:space="preserve">Was den konkreten zeitlichen Aspekt anlangt, so ist je nach
Bedürfnissen des betroffenen Kindes bei älteren Kindern ein
wochenweiser Wechsel möglich, bei kleineren Kindern sollten – so
eine Doppelresidenz hier überhaupt tunlich ist – kürzere Wechsel
stattfinden, also bspw eine Wechselfrequenz alle drei Tage.</w:t>
      </w:r>
    </w:p>
    <w:p>
      <w:pPr>
        <w:widowControl w:val="on"/>
        <w:pBdr/>
        <w:spacing w:before="140" w:after="240" w:line="288" w:lineRule="auto"/>
        <w:ind w:left="0" w:right="0"/>
        <w:jc w:val="left"/>
      </w:pPr>
      <w:r>
        <w:rPr>
          <w:rFonts w:ascii="Arial" w:hAnsi="Arial" w:eastAsia="Arial" w:cs="Arial"/>
          <w:color w:val="000000"/>
          <w:sz w:val="20"/>
          <w:szCs w:val="20"/>
        </w:rPr>
        <w:t xml:space="preserve">Erforderlich ist dennoch die Festlegung eines Hauptaufenthaltes
des Kindes: Bei gemeinsamer Obsorge und Betreuung des Kindes zu
gleichen Teilen soll die Festsetzung eines Hauptaufenthalts
(lediglich) als nomineller Anknüpfungspunkt für andere Rechtsfolgen
dienen, deren Grundlage ein bestimmter Aufenthaltsort ist, wie eben
für die Bestimmung des Hauptwohnsitzes des Kindes im Sinne des
Melderechts oder die Geltendmachung von Familien‑ (vgl § 2
Abs 2 FamLAG) und Wohnbeihilfe. Dies ist spruchmäßig zum
Ausdruck zu bringen (RIS-Justiz RS0130981).</w:t>
      </w:r>
    </w:p>
    <w:p>
      <w:pPr>
        <w:widowControl w:val="on"/>
        <w:pBdr/>
        <w:spacing w:before="140" w:after="240" w:line="288" w:lineRule="auto"/>
        <w:ind w:left="0" w:right="0"/>
        <w:jc w:val="left"/>
      </w:pPr>
      <w:r>
        <w:rPr>
          <w:rFonts w:ascii="Arial" w:hAnsi="Arial" w:eastAsia="Arial" w:cs="Arial"/>
          <w:color w:val="000000"/>
          <w:sz w:val="20"/>
          <w:szCs w:val="20"/>
        </w:rPr>
        <w:t xml:space="preserve">In den Spruch ist ausdrücklich der Hinweis aufzunehmen, dass mit
der hauptsächlichen Betreuung das Aufenthaltsbestimmungsrecht nicht
verbunden ist (9 Ob 82/16y; 3 Ob 71/17p).</w:t>
      </w:r>
    </w:p>
    <w:p>
      <w:pPr>
        <w:widowControl w:val="on"/>
        <w:pBdr/>
        <w:spacing w:before="140" w:after="240" w:line="288" w:lineRule="auto"/>
        <w:ind w:left="0" w:right="0"/>
        <w:jc w:val="left"/>
      </w:pPr>
      <w:r>
        <w:rPr>
          <w:rFonts w:ascii="Arial" w:hAnsi="Arial" w:eastAsia="Arial" w:cs="Arial"/>
          <w:color w:val="000000"/>
          <w:sz w:val="20"/>
          <w:szCs w:val="20"/>
        </w:rPr>
        <w:t xml:space="preserve">Bei erstmaliger Bestimmung des (nominellen) Hauptaufenthalts des
Kindes bei Praktizieren eines Doppelresidenzmodells stellt der OGH
darauf ab, von welchem Elternteil die an den Hauptwohnsitz
anknüpfenden Aufgaben bisher wahrgenommen wurden und ob dieser dazu
auch geeignet erscheint. Dies sind also Anhaltspunkte für die
Bestimmung des sog „privilegierten“ Elternteils (6 Ob 149/16d; 6 Ob
8/19y).</w:t>
      </w:r>
    </w:p>
    <w:p>
      <w:pPr>
        <w:widowControl w:val="on"/>
        <w:pBdr/>
        <w:spacing w:before="140" w:after="240" w:line="288" w:lineRule="auto"/>
        <w:ind w:left="0" w:right="0"/>
        <w:jc w:val="left"/>
      </w:pPr>
      <w:r>
        <w:rPr>
          <w:rFonts w:ascii="Arial" w:hAnsi="Arial" w:eastAsia="Arial" w:cs="Arial"/>
          <w:color w:val="000000"/>
          <w:sz w:val="20"/>
          <w:szCs w:val="20"/>
        </w:rPr>
        <w:t xml:space="preserve">Besteht allerdings bereits eine Obsorgeregelung, kann die
Obsorge nur unter den Voraussetzungen des § 180 Abs 3
ABGB neu geregelt werden (6 Ob 8/19y); ist sohin die Obsorge
entweder gerichtlich oder aufgrund einer Vereinbarung der
Kindeseltern bereits festgelegt, setzt eine Änderung der bislang
bestanden habenden Regelung eine nachträgliche Änderung der
Verhältnisse voraus, die derart gewichtig ist dass das zu
berücksichtigende Postulat der Erziehungskontinuität in den
Hintergrund tritt (RIS-Justiz RS0128809).</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wird bei Ausübung einer Doppelresidenz wohl davon
auszugehen sein, dass auch eine gemeinsame Obsorge beider
Elternteile für das betreffende Kind besteht; dies ist jedoch
insoweit nicht zwingend, als faktisch auch bei alleiniger Obsorge
eines Elternteils ein Doppelresidenzmodell im Sinne eines
umfassenden Kontaktrechtes gelebt werden kann. Dies kann sich wohl
auf die Verpflichtung des nicht obsorgeberechtigten Elternteiles
zur Leistung von Kindesunterhalt entsprechend auswirken (vgl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Kinderbetreuung und Kindesunterhalt – ein
Überblick, EF-Z 2018, 11), belässt im Übrigen jedoch die mit der
Obsorge verbundenen Rechte und Pflichten allein beim anderen
Elternteil, dem diesfalls bspw auch weiterhin das
Aufenthaltsbestimmungsrecht nach § 162 ABGB Abs 1 ABGB
zukommt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254). Der diesfalls
bloß kontaktberechtigte Elternteil kann daher das Kind in der Zeit
in der sich dieses in seiner Betreuung befindet bloß auf Basis von
§ 189 Abs 1 Z 2 ABGB in Angelegenheiten des
täglichen Lebens vertreten.</w:t>
      </w:r>
    </w:p>
    <w:p>
      <w:pPr>
        <w:widowControl w:val="on"/>
        <w:pBdr/>
        <w:spacing w:before="140" w:after="240" w:line="288" w:lineRule="auto"/>
        <w:ind w:left="0" w:right="0"/>
        <w:jc w:val="left"/>
      </w:pPr>
      <w:r>
        <w:rPr>
          <w:rFonts w:ascii="Arial" w:hAnsi="Arial" w:eastAsia="Arial" w:cs="Arial"/>
          <w:color w:val="000000"/>
          <w:sz w:val="20"/>
          <w:szCs w:val="20"/>
        </w:rPr>
        <w:t xml:space="preserve">Dementsprechend ist jedoch davon auszugehen, dass eine „echte“
Doppelresidenz voraussetzt, dass jeder Elternteil auch mit der
Obsorge für das betreffende Kind betraut ist.</w:t>
      </w:r>
    </w:p>
    <w:p>
      <w:pPr>
        <w:widowControl w:val="on"/>
        <w:pBdr/>
        <w:spacing w:before="140" w:after="240" w:line="288" w:lineRule="auto"/>
        <w:ind w:left="0" w:right="0"/>
        <w:jc w:val="left"/>
      </w:pPr>
      <w:r>
        <w:rPr>
          <w:rFonts w:ascii="Arial" w:hAnsi="Arial" w:eastAsia="Arial" w:cs="Arial"/>
          <w:color w:val="000000"/>
          <w:sz w:val="20"/>
          <w:szCs w:val="20"/>
        </w:rPr>
        <w:t xml:space="preserve">Die Festlegung eines Domizilelternteils iSv § 180
Abs 2 ABGB soll dann jedenfalls nur als Anknüpfungspunkt für
verwaltungsrechtliche Rechtsfolgen dienen, etwa was den
Hauptwohnsitz nach Art 6 Abs 3 B-VG und § 1
Abs 7 MeldeG oder die Gewährung der Familienbeihilfe anlangt
(§ 2 Abs 2 FLAG).</w:t>
      </w:r>
    </w:p>
    <w:p>
      <w:pPr>
        <w:widowControl w:val="on"/>
        <w:pBdr/>
        <w:spacing w:before="140" w:after="240" w:line="288" w:lineRule="auto"/>
        <w:ind w:left="0" w:right="0"/>
        <w:jc w:val="left"/>
      </w:pPr>
      <w:r>
        <w:rPr>
          <w:rFonts w:ascii="Arial" w:hAnsi="Arial" w:eastAsia="Arial" w:cs="Arial"/>
          <w:color w:val="000000"/>
          <w:sz w:val="20"/>
          <w:szCs w:val="20"/>
        </w:rPr>
        <w:t xml:space="preserve">Aus zivilrechtlicher Sicht, also insbesondere was das
Aufenthaltsbestimmungsrecht anlangt, besteht ein festgelegtes Heim
erster Ordnung. Was daher eine Übersiedlung ins Ausland anlangt,
wird § 162 Abs 3 ABGB einschlägig sein: Ist nicht
festgelegt, in wessen Haushalt das Kind hauptsächlich betreut
werden soll, so darf der Wohnort des Kindes nur mit Zustimmung
beider Elternteile oder Genehmigung des Gerichts in das Ausland
verlegt werden. Nach der Rsp des OGH (3 Ob 71/17p; 6 Ob 149/16d)
und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(EF-Z 2016, 195) soll dies grundsätzlich
auch für eine Wohnsitzverlegung im Inland gelten: Demnach soll auch
im Inland, gem § 162 Abs 3 ABGB auf ein Einvernehmen oder
eine Genehmigung durch das Gericht abzustellen sein (aA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255: Dieser zufolge soll jeder
Elternteil dem im Bereich Pflege und Erziehung die Obsorge zukommt,
das Aufenthaltsbestimmungsrecht haben, er muss aber für eine
Wohnsitzverlegung gem § 137 Abs 2 ABGB das Einvernehmen
mit dem anderen, ebenfalls obsorgeberechtigten Elternteil
suchen).</w:t>
      </w:r>
    </w:p>
    <w:p>
      <w:pPr>
        <w:widowControl w:val="on"/>
        <w:pBdr/>
        <w:spacing w:before="140" w:after="240" w:line="288" w:lineRule="auto"/>
        <w:ind w:left="0" w:right="0"/>
        <w:jc w:val="left"/>
      </w:pPr>
      <w:r>
        <w:rPr>
          <w:rFonts w:ascii="Arial" w:hAnsi="Arial" w:eastAsia="Arial" w:cs="Arial"/>
          <w:color w:val="000000"/>
          <w:sz w:val="20"/>
          <w:szCs w:val="20"/>
        </w:rPr>
        <w:t xml:space="preserve">Nach neuerer Rsp ist offenbar auch davon auszugehen, dass auch
eine gerichtliche Anordnung einer Doppelresidenz möglich ist (vgl 4
Ob 146/21f iFamZ 2022/6 </w:t>
      </w:r>
      <w:r>
        <w:rPr>
          <w:rFonts w:ascii="Arial" w:hAnsi="Arial" w:eastAsia="Arial" w:cs="Arial"/>
          <w:i/>
          <w:iCs/>
          <w:color w:val="000000"/>
          <w:sz w:val="20"/>
          <w:szCs w:val="20"/>
        </w:rPr>
        <w:t xml:space="preserve">[Beck]</w:t>
      </w:r>
      <w:r>
        <w:rPr>
          <w:rFonts w:ascii="Arial" w:hAnsi="Arial" w:eastAsia="Arial" w:cs="Arial"/>
          <w:color w:val="000000"/>
          <w:sz w:val="20"/>
          <w:szCs w:val="20"/>
        </w:rPr>
        <w:t xml:space="preserve">).</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Gem § 187 Abs 1 ABGB haben das Kind und jeder Elternteil
das Recht auf regelmäßige und den Bedürfnissen des Kindes
entsprechende persönliche Kontakte unabhängig davon, ob dem
getrennt lebenden Elternteil die Obsorge zukommt oder nicht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Kletečka/Schauer</w:t>
      </w:r>
      <w:r>
        <w:rPr>
          <w:rFonts w:ascii="Arial" w:hAnsi="Arial" w:eastAsia="Arial" w:cs="Arial"/>
          <w:color w:val="000000"/>
          <w:sz w:val="20"/>
          <w:szCs w:val="20"/>
        </w:rPr>
        <w:t xml:space="preserve">,
ABGB-ON</w:t>
      </w:r>
      <w:r>
        <w:rPr>
          <w:rFonts w:ascii="Arial" w:hAnsi="Arial" w:eastAsia="Arial" w:cs="Arial"/>
          <w:color w:val="000000"/>
          <w:position w:val="3"/>
          <w:sz w:val="18"/>
          <w:szCs w:val="18"/>
          <w:vertAlign w:val="superscript"/>
        </w:rPr>
        <w:t xml:space="preserve">1.04</w:t>
      </w:r>
      <w:r>
        <w:rPr>
          <w:rFonts w:ascii="Arial" w:hAnsi="Arial" w:eastAsia="Arial" w:cs="Arial"/>
          <w:color w:val="000000"/>
          <w:sz w:val="20"/>
          <w:szCs w:val="20"/>
        </w:rPr>
        <w:t xml:space="preserve"> § 187 ABGB Rz 2).</w:t>
      </w:r>
    </w:p>
    <w:p>
      <w:pPr>
        <w:widowControl w:val="on"/>
        <w:pBdr/>
        <w:spacing w:before="140" w:after="240" w:line="288" w:lineRule="auto"/>
        <w:ind w:left="0" w:right="0"/>
        <w:jc w:val="left"/>
      </w:pPr>
      <w:r>
        <w:rPr>
          <w:rFonts w:ascii="Arial" w:hAnsi="Arial" w:eastAsia="Arial" w:cs="Arial"/>
          <w:color w:val="000000"/>
          <w:sz w:val="20"/>
          <w:szCs w:val="20"/>
        </w:rPr>
        <w:t xml:space="preserve">Bei gleichteiliger Betreuung eines Kindes durch beide
Elternteile im Sinne einer Doppelresidenz erübrigt sich daher eine
gesonderte Kontaktrechtsregelung an sich.</w:t>
      </w:r>
    </w:p>
    <w:p>
      <w:pPr>
        <w:widowControl w:val="on"/>
        <w:pBdr/>
        <w:spacing w:before="140" w:after="240" w:line="288" w:lineRule="auto"/>
        <w:ind w:left="0" w:right="0"/>
        <w:jc w:val="left"/>
      </w:pPr>
      <w:r>
        <w:rPr>
          <w:rFonts w:ascii="Arial" w:hAnsi="Arial" w:eastAsia="Arial" w:cs="Arial"/>
          <w:color w:val="000000"/>
          <w:sz w:val="20"/>
          <w:szCs w:val="20"/>
        </w:rPr>
        <w:t xml:space="preserve">Wenn sich die Eltern mit der Betreuung in längeren
Zeitintervallen abwechseln, kann der fehlende Kontakt des Kindes
zum gerade nicht betreuenden Elternteil aber grundsätzlich dem
Kindeswohl widersprechen; diesfalls müsste das Gericht schon im
Rahmen seiner Kontrollmöglichkeit nach § 190 ABs 2 ABGB auf
eine Änderung der Vereinbarung in diesem Punkt hinwirken
(</w:t>
      </w:r>
      <w:r>
        <w:rPr>
          <w:rFonts w:ascii="Arial" w:hAnsi="Arial" w:eastAsia="Arial" w:cs="Arial"/>
          <w:i/>
          <w:iCs/>
          <w:color w:val="000000"/>
          <w:sz w:val="20"/>
          <w:szCs w:val="20"/>
        </w:rPr>
        <w:t xml:space="preserve">Fischer-Czermak</w:t>
      </w:r>
      <w:r>
        <w:rPr>
          <w:rFonts w:ascii="Arial" w:hAnsi="Arial" w:eastAsia="Arial" w:cs="Arial"/>
          <w:color w:val="000000"/>
          <w:sz w:val="20"/>
          <w:szCs w:val="20"/>
        </w:rPr>
        <w:t xml:space="preserve">, EF-Z 2019, 256).</w:t>
      </w:r>
    </w:p>
    <w:p>
      <w:pPr>
        <w:widowControl w:val="on"/>
        <w:pBdr/>
        <w:spacing w:before="140" w:after="240" w:line="288" w:lineRule="auto"/>
        <w:ind w:left="0" w:right="0"/>
        <w:jc w:val="left"/>
      </w:pPr>
      <w:r>
        <w:rPr>
          <w:rFonts w:ascii="Arial" w:hAnsi="Arial" w:eastAsia="Arial" w:cs="Arial"/>
          <w:color w:val="000000"/>
          <w:sz w:val="20"/>
          <w:szCs w:val="20"/>
        </w:rPr>
        <w:t xml:space="preserve">Nichtsdestotrotz ist es wohl angezeigt, zu vereinbaren, wann das
betreffende Kind in der Betreuung welchen Elternteiles sein soll,
um jedenfalls der Klarheit Genüge zu tun.</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Bei gleichwertigen Betreuungs- und Naturalunterhaltsleistungen
besteht nach der Rsp nun grundsätzlich kein Geldunterhaltsanspruch
mehr, wenn das Einkommen der Eltern etwa gleich hoch ist bzw beide
über ein Einkommen verfügen, das jeweils zu über der Luxusgrenze
liegenden Geldunterhaltsansprüchen des Kindes über dem
Unterhaltsstopp führt (sog „betreuungsrechtliches
Unterhaltsmodell“: 10 Ob 23/18g EF-Z 2019/20; 5 Ob 189/18g,
</w:t>
      </w:r>
      <w:r>
        <w:rPr>
          <w:rFonts w:ascii="Arial" w:hAnsi="Arial" w:eastAsia="Arial" w:cs="Arial"/>
          <w:i/>
          <w:iCs/>
          <w:color w:val="000000"/>
          <w:sz w:val="20"/>
          <w:szCs w:val="20"/>
        </w:rPr>
        <w:t xml:space="preserve">Tews</w:t>
      </w:r>
      <w:r>
        <w:rPr>
          <w:rFonts w:ascii="Arial" w:hAnsi="Arial" w:eastAsia="Arial" w:cs="Arial"/>
          <w:color w:val="000000"/>
          <w:sz w:val="20"/>
          <w:szCs w:val="20"/>
        </w:rPr>
        <w:t xml:space="preserve">, Berechnung des betreuungsrechtlichen
Unterhaltsanspruchs, EF-Z 2016/110).</w:t>
      </w:r>
    </w:p>
    <w:p>
      <w:pPr>
        <w:widowControl w:val="on"/>
        <w:pBdr/>
        <w:spacing w:before="140" w:after="240" w:line="288" w:lineRule="auto"/>
        <w:ind w:left="0" w:right="0"/>
        <w:jc w:val="left"/>
      </w:pPr>
      <w:r>
        <w:rPr>
          <w:rFonts w:ascii="Arial" w:hAnsi="Arial" w:eastAsia="Arial" w:cs="Arial"/>
          <w:color w:val="000000"/>
          <w:sz w:val="20"/>
          <w:szCs w:val="20"/>
        </w:rPr>
        <w:t xml:space="preserve">Ab wann von gleichwertigen Betreuungsleistungen der Eltern die
Rede sein kann, ist angesichts der Vielfalt familiärer Lebens- und
Betreuungsmodelle nicht mit einem starren Prozentsatz festzulegen
(8 Ob 69/15b). Maßgeblich für die Beurteilung des Ausmaßes der
Betreuung ist regelmäßig die tatsächliche Betreuung im einzelnen
Kalenderjahr. Für zukünftige Unterhaltsleistungen ist auf die
konkrete Ausübung des Kontaktrechts in einem angemessenen Zeitraum
vor der Beschlussfassung erster Instanz abzustellen (1 Ob 13/19x
Zak 2019/304). Ob das Ausmaß der Betreuung (bei Vorliegen der
weiteren genannten Voraussetzungen) einen Entfall der
Geldunterhaltspflicht rechtfertigt, ist jeweils im konkreten
Einzelfall zu beurteilen (vgl RIS-Justiz RS0047452). Der Oberste
Gerichtshof verneinte in diesem Zusammenhang das Vorliegen einer
nahezu gleichwertigen Betreuung etwa bei einem Betreuungsverhältnis
von 42 % zu 58 % (vgl 5 Ob 2/12y; 1 Ob 13/19x) oder noch
geringerer Betreuungsleistungen jenes Elternteils, bei dem sich das
Kind nicht hauptsächlich aufhält, etwa 39 % (9 Ob 57/17y) oder
38 % (5 Ob 189/18g, 3 Ob 101/19b). Demgegenüber erachtete er
eine Betreuung durch diesen Elternteil zu rund 43 % (4 Ob
16/13a; 4 Ob 45/19z) oder mehr (6 Ob 55/16f) als annähernd
gleichwertig (1 Ob 89/22b Zak 2022/424). Die Beurteilung als
„gleichwertige Betreuungsleistungen“ erlaubt jedenfalls nur ganz
geringfügige Unterschiede. Dementsprechend spricht der OGH hier
auch von „völlig gleichwertig“ (7 Ob 172/16v; 1 Ob 151/16m). Nur
ganz geringfügige Unterschiede können mit dem Begriff „nahezu
gleichwertig“ ausgedrückt werden (8 Ob 89/17x iFamZ 2017/204).</w:t>
      </w:r>
    </w:p>
    <w:p>
      <w:pPr>
        <w:widowControl w:val="on"/>
        <w:pBdr/>
        <w:spacing w:before="140" w:after="240" w:line="288" w:lineRule="auto"/>
        <w:ind w:left="0" w:right="0"/>
        <w:jc w:val="left"/>
      </w:pPr>
      <w:r>
        <w:rPr>
          <w:rFonts w:ascii="Arial" w:hAnsi="Arial" w:eastAsia="Arial" w:cs="Arial"/>
          <w:color w:val="000000"/>
          <w:sz w:val="20"/>
          <w:szCs w:val="20"/>
        </w:rPr>
        <w:t xml:space="preserve">Ein gleich hohes Einkommen soll iSd zitierten Rsp darüber hinaus
dann gegeben sein, wenn das Einkommen eines Elternteiles das des
anderen nicht beträchtlich übersteigt, wobei Unterschiede bis zu
einem Drittel (vom niedrigeren zum höheren Betrag gerechnet; vgl 9
Ob 77/21w) hinzunehmen sind (vgl 4 Ob 16/13a EF-Z 2013/115; 1 Ob
158/15i EF-Z 2016/16).</w:t>
      </w:r>
    </w:p>
    <w:p>
      <w:pPr>
        <w:widowControl w:val="on"/>
        <w:pBdr/>
        <w:spacing w:before="140" w:after="240" w:line="288" w:lineRule="auto"/>
        <w:ind w:left="0" w:right="0"/>
        <w:jc w:val="left"/>
      </w:pPr>
      <w:r>
        <w:rPr>
          <w:rFonts w:ascii="Arial" w:hAnsi="Arial" w:eastAsia="Arial" w:cs="Arial"/>
          <w:color w:val="000000"/>
          <w:sz w:val="20"/>
          <w:szCs w:val="20"/>
        </w:rPr>
        <w:t xml:space="preserve">Im Fall der gleichteiligen Betreuung eines Kindes durch beide
Elternteile sind aber nicht nur die mit der Betreuung
zusammenhängenden Kosten sondern zusätzlich auch die sonstigen
notwendigen Aufwendungen für das Kind, die so genannten
„längerlebigen Anschaffungen“ wie etwa Bekleidung, Schuhe,
Schulkosten usw. gemeinsam zu tragen, ansonsten ein
Ausgleichsanspruch gegen den minderleistenden Elternteil entstünde.
Voraussetzung für die Anwendung des so genannten
„betreuungsrechtlichen Unterhaltsmodells“ ist daher neben der
bereits erwähnten gleichwertigen Betreuungs‑ und
Einkommenssituation, dass auch die sonstigen (bedarfsdeckenden)
Naturalleistungen von beiden Elternteilen etwa gleichwertig
erbracht werden (1 Ob 151/16m). Trägt ein Elternteil überwiegend
neben der Betreuung im Haushalt zusätzlich auch noch die
notwendigen Aufwendungen für Bekleidung, Schuhwerk und alle
größeren, längerlebigen Anschaffungen, führt dies zu einem
Ausgleichsanspruch gegen den minderleistenden Elternteil
(RIS-Justiz RS0130655). Nicht wirklich geklärt scheint in der Rsp
derzeit, in welchem Verhältnis die erwähnten längerlebigen
Anschaffungen von den Kindeseltern zu finanzieren sind. In der
Entscheidung 4 Ob 16/13a folgte der OGH der Auffassung von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(ÖRPfl 2012 H 2, 22, 27) unter Hinweis auf
die Entscheidung 6 Ob 182/02m, wonach im Fall der gleichteiligen
Betreuung beide Eltern nicht nur die mit der Betreuung
zusammenhängenden alltäglichen Kosten, sondern auch die zusätzlich
notwendigen Aufwendungen (Schuhe, Kleidung, Sportsachen,
Schulkosten etc) zu gleichen Teilen zu tragen haben; andernfalls
entstehe ein Ausgleichsanspruch gegen den minderleistenden
Elternteil (4 Ob 16/13a EF Z 2013/115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 Zak 2013/395). In der Entscheidung 6 Ob 18/22y wurden
demgegenüber die vorinstanzlichen Entscheidungen bestätigt, wonach
ausgehend vom Verhältnis der Leistungsfähigkeiten der beiden
Elternteile (2:1 zu Lasten des Vaters) dieser von den längerlebigen
Anschaffungen zwei Drittel zu bezahlen habe. Von manchen wird in
der Lit nun unter Verweis auf diese Entscheidung also vertreten,
dass die längerlebigen Anschaffungen im Rahmen des
betreuungsrechtlichen Unterhaltsmodelles im Verhältnis der
jeweiligen Leistungsfähigkeit der Eltern zu finanzieren wären. Ob
sich dies aber auf die erwähnte Entscheidung 6 Ob 18/22y stützen
lässt, ist mE aber fraglich, wurde in dieser doch explizit
festgehalten, dass sich der Kindesvater unter Verweis auf die og
Entscheidung 4 Ob 16/13a eigentlich auch höhere
Unterhaltsleistungen anrechnen lassen hätte können, dies aber
mangels Anfechtung der zweitinstanzlichen Entscheidung durch ihn
nicht mehr aufgegriffen werden hätte können (vgl 6 Ob 18/22y).</w:t>
      </w:r>
    </w:p>
    <w:p>
      <w:pPr>
        <w:widowControl w:val="on"/>
        <w:pBdr/>
        <w:spacing w:before="140" w:after="240" w:line="288" w:lineRule="auto"/>
        <w:ind w:left="0" w:right="0"/>
        <w:jc w:val="left"/>
      </w:pPr>
      <w:r>
        <w:rPr>
          <w:rFonts w:ascii="Arial" w:hAnsi="Arial" w:eastAsia="Arial" w:cs="Arial"/>
          <w:color w:val="000000"/>
          <w:sz w:val="20"/>
          <w:szCs w:val="20"/>
        </w:rPr>
        <w:t xml:space="preserve">Im Rahmen des „betreuungsrechtlichen Unterhaltsmodells“ wird der
nach der Rsp der Familienbonus (FaBo+) nicht berücksichtigt; die
Transferleistungen (Familienbeihilfe, Kinderabsetzbetrag) sind
grundsätzlich auf beide Haushalte zu gleichen Teilen aufzuteilen (4
Ob 8/19h iFamZ 2019/47; </w:t>
      </w:r>
      <w:r>
        <w:rPr>
          <w:rFonts w:ascii="Arial" w:hAnsi="Arial" w:eastAsia="Arial" w:cs="Arial"/>
          <w:i/>
          <w:iCs/>
          <w:color w:val="000000"/>
          <w:sz w:val="20"/>
          <w:szCs w:val="20"/>
        </w:rPr>
        <w:t xml:space="preserve">Tews</w:t>
      </w:r>
      <w:r>
        <w:rPr>
          <w:rFonts w:ascii="Arial" w:hAnsi="Arial" w:eastAsia="Arial" w:cs="Arial"/>
          <w:color w:val="000000"/>
          <w:sz w:val="20"/>
          <w:szCs w:val="20"/>
        </w:rPr>
        <w:t xml:space="preserve">, EF-Z 2019, 8). Im Ergebnis
findet damit ein Ausgleich zwischen den fiktiven wechselseitigen
Geldunterhaltspflichten nach der Prozentmethode unter Rücksicht auf
eine allfällige Deckelung des Unterhaltes durch die Luxusgrenze
unter Rücksicht auf die von den Elternteilen bezogenen staatlichen
Transferleistungen (Familienbeihilfe, Kinderabsetzbetrag) statt
(vgl im Einzelnen dazu </w:t>
      </w:r>
      <w:r>
        <w:rPr>
          <w:rFonts w:ascii="Arial" w:hAnsi="Arial" w:eastAsia="Arial" w:cs="Arial"/>
          <w:i/>
          <w:iCs/>
          <w:color w:val="000000"/>
          <w:sz w:val="20"/>
          <w:szCs w:val="20"/>
        </w:rPr>
        <w:t xml:space="preserve">Schwimann/Kolmasch</w:t>
      </w:r>
      <w:r>
        <w:rPr>
          <w:rFonts w:ascii="Arial" w:hAnsi="Arial" w:eastAsia="Arial" w:cs="Arial"/>
          <w:color w:val="000000"/>
          <w:sz w:val="20"/>
          <w:szCs w:val="20"/>
        </w:rPr>
        <w:t xml:space="preserve">, aaO, 130 f;
</w:t>
      </w:r>
      <w:r>
        <w:rPr>
          <w:rFonts w:ascii="Arial" w:hAnsi="Arial" w:eastAsia="Arial" w:cs="Arial"/>
          <w:i/>
          <w:iCs/>
          <w:color w:val="000000"/>
          <w:sz w:val="20"/>
          <w:szCs w:val="20"/>
        </w:rPr>
        <w:t xml:space="preserve">Tews</w:t>
      </w:r>
      <w:r>
        <w:rPr>
          <w:rFonts w:ascii="Arial" w:hAnsi="Arial" w:eastAsia="Arial" w:cs="Arial"/>
          <w:color w:val="000000"/>
          <w:sz w:val="20"/>
          <w:szCs w:val="20"/>
        </w:rPr>
        <w:t xml:space="preserve">, Berechnung des betreuungsrechtlichen
Unterhaltsanspruchs, EF-Z 2016, 244).</w:t>
      </w:r>
    </w:p>
    <w:p>
      <w:pPr>
        <w:widowControl w:val="on"/>
        <w:pBdr/>
        <w:spacing w:before="140" w:after="240" w:line="288" w:lineRule="auto"/>
        <w:ind w:left="0" w:right="0"/>
        <w:jc w:val="left"/>
      </w:pPr>
      <w:r>
        <w:rPr>
          <w:rFonts w:ascii="Arial" w:hAnsi="Arial" w:eastAsia="Arial" w:cs="Arial"/>
          <w:color w:val="000000"/>
          <w:sz w:val="20"/>
          <w:szCs w:val="20"/>
        </w:rPr>
        <w:t xml:space="preserve">Da eine gesetzliche Grundlage für die Anwendung eines bestimmten
Berechnungssystems nicht besteht, kann der OGH aber auch hier nicht
Regeln der Unterhaltsbemessung derart in ein System verdichten,
dass sich eine Tabelle für jeden möglichen Anspruchsfall ergäbe
(RIS-Justiz RS0047419).</w:t>
      </w:r>
    </w:p>
    <w:p>
      <w:pPr>
        <w:widowControl w:val="on"/>
        <w:pBdr/>
        <w:spacing w:before="140" w:after="240" w:line="288" w:lineRule="auto"/>
        <w:ind w:left="0" w:right="0"/>
        <w:jc w:val="left"/>
      </w:pPr>
      <w:r>
        <w:rPr>
          <w:rFonts w:ascii="Arial" w:hAnsi="Arial" w:eastAsia="Arial" w:cs="Arial"/>
          <w:color w:val="000000"/>
          <w:sz w:val="20"/>
          <w:szCs w:val="20"/>
        </w:rPr>
        <w:t xml:space="preserve">In der Praxis wird das „betreuungsrechtliche Unterhaltsmodell“
vor allem von Vätern oft als das bessere und demnach anzustrebende
angesehen. Dies kann mE aber nicht derart pauschal gesagt werden,
da wie gesagt ja nicht nur der (sicherlich im Vergleich zu einer
Unterhaltsbemessung nach der Prozentkomponente niedrigere)
Ergänzungsunterhalt zu bezahlen ist, sondern darüber hinaus auch
sämtliche längerlebigen Anschaffungen gemeinsam zu bestreiten sind,
was also zusätzlich zu berücksichtigen ist. Was also allein
finanzielle Aspekte betrifft, gilt es daher im Einzelfall genau
abzuwägen, ob das betreuungsrechtliche Unterhaltsmodell oder
vielleicht doch noch eine Unterhaltsbemessung nach Prozenten mit
Abschlägen für eine überdurchschnittliche Betreuung im Ergebnis
günstiger ist.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Auf der Homepage des Bundesministeriums für Arbeit, Familie und
Jugend findet sich ein Link zu der Liste der anerkannten
Berater/innen gem § 95 Abs 1a AußStrG und den hierfür
vorgesehenen Qualitätsstandards: </w:t>
      </w:r>
      <w:hyperlink r:id="rId70536a8b9d0b4f6bb" w:history="1">
        <w:r>
          <w:rPr>
            <w:rFonts w:ascii="Arial" w:hAnsi="Arial" w:eastAsia="Arial" w:cs="Arial"/>
            <w:color w:val="006BB6"/>
            <w:sz w:val="20"/>
            <w:szCs w:val="20"/>
          </w:rPr>
          <w:t xml:space="preserve">https://www.trennungundscheidung.at/elternberatung-vor-scheidung/berater/</w:t>
        </w:r>
      </w:hyperlink>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Im vorliegenden Fall sind beide Ehegatten Mitmieter an der
Ehewohnung und es soll das Mietverhältnis nunmehr vom Ehemann
allein fortgesetzt werden.</w:t>
      </w:r>
    </w:p>
    <w:p>
      <w:pPr>
        <w:widowControl w:val="on"/>
        <w:pBdr/>
        <w:spacing w:before="140" w:after="240" w:line="288" w:lineRule="auto"/>
        <w:ind w:left="0" w:right="0"/>
        <w:jc w:val="left"/>
      </w:pPr>
      <w:r>
        <w:rPr>
          <w:rFonts w:ascii="Arial" w:hAnsi="Arial" w:eastAsia="Arial" w:cs="Arial"/>
          <w:color w:val="000000"/>
          <w:sz w:val="20"/>
          <w:szCs w:val="20"/>
        </w:rPr>
        <w:t xml:space="preserve">Gem § 87 Abs 1 EheG kann das Gericht für die
Ehewohnung, wenn sie kraft Eigentums oder eines anderen dinglichen
Rechtes eines oder beider Ehegatten benützt wird, die Übertragung
des Eigentums oder des dinglichen Rechtes von einem auf den anderen
Ehegatten oder die Begründung eines schuldrechtlichen
Rechtsverhältnisses zugunsten eines Ehegatten anordnen. Die
Übertragung des Eigentums oder eines dinglichen Rechts an einer
Ehewohnung nach § 82 Abs 2 können die Ehegatten durch
Vereinbarung ausschließen. Sonst kann das Gericht ohne Rücksicht
auf eine Regelung durch Vertrag oder Satzung anordnen, dass ein
Ehegatte anstelle des anderen in das der Benützung der Ehewohnung
zugrunde liegende Rechtsverhältnis eintritt oder das bisher
gemeinsame Rechtsverhältnis allein fortsetzt (Abs 2).</w:t>
      </w:r>
    </w:p>
    <w:p>
      <w:pPr>
        <w:widowControl w:val="on"/>
        <w:pBdr/>
        <w:spacing w:before="140" w:after="240" w:line="288" w:lineRule="auto"/>
        <w:ind w:left="0" w:right="0"/>
        <w:jc w:val="left"/>
      </w:pPr>
      <w:r>
        <w:rPr>
          <w:rFonts w:ascii="Arial" w:hAnsi="Arial" w:eastAsia="Arial" w:cs="Arial"/>
          <w:color w:val="000000"/>
          <w:sz w:val="20"/>
          <w:szCs w:val="20"/>
        </w:rPr>
        <w:t xml:space="preserve">Gerichtliche Entscheidungen über die Ehewohnung nach §§ 87
ff EheG werden durch § 12 Abs 1 und 2 MRG nicht berührt,
wohl aber Vereinbarungen (gerichtliche Vergleiche) zwischen
Ehegatten aus Anlass der Scheidung (</w:t>
      </w:r>
      <w:r>
        <w:rPr>
          <w:rFonts w:ascii="Arial" w:hAnsi="Arial" w:eastAsia="Arial" w:cs="Arial"/>
          <w:i/>
          <w:iCs/>
          <w:color w:val="000000"/>
          <w:sz w:val="20"/>
          <w:szCs w:val="20"/>
        </w:rPr>
        <w:t xml:space="preserve">Würth/Zingher/Kovanyi</w:t>
      </w:r>
      <w:r>
        <w:rPr>
          <w:rFonts w:ascii="Arial" w:hAnsi="Arial" w:eastAsia="Arial" w:cs="Arial"/>
          <w:color w:val="000000"/>
          <w:sz w:val="20"/>
          <w:szCs w:val="20"/>
        </w:rPr>
        <w:t xml:space="preserve">,
Miet- und Wohnrecht</w:t>
      </w:r>
      <w:r>
        <w:rPr>
          <w:rFonts w:ascii="Arial" w:hAnsi="Arial" w:eastAsia="Arial" w:cs="Arial"/>
          <w:color w:val="000000"/>
          <w:position w:val="3"/>
          <w:sz w:val="18"/>
          <w:szCs w:val="18"/>
          <w:vertAlign w:val="superscript"/>
        </w:rPr>
        <w:t xml:space="preserve">23</w:t>
      </w:r>
      <w:r>
        <w:rPr>
          <w:rFonts w:ascii="Arial" w:hAnsi="Arial" w:eastAsia="Arial" w:cs="Arial"/>
          <w:color w:val="000000"/>
          <w:sz w:val="20"/>
          <w:szCs w:val="20"/>
        </w:rPr>
        <w:t xml:space="preserve">, § 12 MRG Rz 6 unter
Hinweis auf 3 Ob 52/79, MietSlg 32.412/17).</w:t>
      </w:r>
    </w:p>
    <w:p>
      <w:pPr>
        <w:widowControl w:val="on"/>
        <w:pBdr/>
        <w:spacing w:before="140" w:after="240" w:line="288" w:lineRule="auto"/>
        <w:ind w:left="0" w:right="0"/>
        <w:jc w:val="left"/>
      </w:pPr>
      <w:r>
        <w:rPr>
          <w:rFonts w:ascii="Arial" w:hAnsi="Arial" w:eastAsia="Arial" w:cs="Arial"/>
          <w:color w:val="000000"/>
          <w:sz w:val="20"/>
          <w:szCs w:val="20"/>
        </w:rPr>
        <w:t xml:space="preserve">Eine im Scheidungsvergleich getroffene Vereinbarung über die
Übertragung der Mietrechte an einen Ehegatten ohne Zustimmung des
Vermieters ist sohin nicht durchsetzbar und bedarf in einem solchen
Fall des Aufteilungsverfahrens, in dem mit rechtsgestaltender
Wirkung entschieden werden kann. In diesem Verfahren hat der
Vermieter Parteistellung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Nacheheliche
Aufteilung</w:t>
      </w:r>
      <w:r>
        <w:rPr>
          <w:rFonts w:ascii="Arial" w:hAnsi="Arial" w:eastAsia="Arial" w:cs="Arial"/>
          <w:color w:val="000000"/>
          <w:position w:val="3"/>
          <w:sz w:val="18"/>
          <w:szCs w:val="18"/>
          <w:vertAlign w:val="superscript"/>
        </w:rPr>
        <w:t xml:space="preserve">2</w:t>
      </w:r>
      <w:r>
        <w:rPr>
          <w:rFonts w:ascii="Arial" w:hAnsi="Arial" w:eastAsia="Arial" w:cs="Arial"/>
          <w:color w:val="000000"/>
          <w:sz w:val="20"/>
          <w:szCs w:val="20"/>
        </w:rPr>
        <w:t xml:space="preserve">, Rz 113 E 1 mwN). Der Vermieter ist in
einem solchen Verfahren auch zum Rekurs legitimiert allerdings kann
er sich nur gegen unzulässige – weil über den Rahmen des § 87
Abs 2 EheG hinausgehende – Anordnungen des Gerichtes zur Wehr
setzen; ob der frühere Ehegatte seines Mieters als nunmehriger
Vertragspartner genehm ist, hat das Gericht nicht zu prüfen (vgl
</w:t>
      </w:r>
      <w:r>
        <w:rPr>
          <w:rFonts w:ascii="Arial" w:hAnsi="Arial" w:eastAsia="Arial" w:cs="Arial"/>
          <w:i/>
          <w:iCs/>
          <w:color w:val="000000"/>
          <w:sz w:val="20"/>
          <w:szCs w:val="20"/>
        </w:rPr>
        <w:t xml:space="preserve">Hopf/Kathrein</w:t>
      </w:r>
      <w:r>
        <w:rPr>
          <w:rFonts w:ascii="Arial" w:hAnsi="Arial" w:eastAsia="Arial" w:cs="Arial"/>
          <w:color w:val="000000"/>
          <w:sz w:val="20"/>
          <w:szCs w:val="20"/>
        </w:rPr>
        <w:t xml:space="preserve">, Eherecht</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 87 EheG
Rz 6 mwN).</w:t>
      </w:r>
    </w:p>
    <w:p>
      <w:pPr>
        <w:widowControl w:val="on"/>
        <w:pBdr/>
        <w:spacing w:before="140" w:after="240" w:line="288" w:lineRule="auto"/>
        <w:ind w:left="0" w:right="0"/>
        <w:jc w:val="left"/>
      </w:pPr>
      <w:r>
        <w:rPr>
          <w:rFonts w:ascii="Arial" w:hAnsi="Arial" w:eastAsia="Arial" w:cs="Arial"/>
          <w:color w:val="000000"/>
          <w:sz w:val="20"/>
          <w:szCs w:val="20"/>
        </w:rPr>
        <w:t xml:space="preserve">Das Zustimmungserfordernis des Vermieters gilt auch für den Fall
einer einvernehmlichen Scheidung; in diesem Fall hat das
Aufteilungsgericht über Antrag (§ 98 EheG analog) jedenfalls
jenes Ehegatten, auf den die Mietrechte übertragen werden sollen,
gegenüber dem Vermieter diese Übertragung beschlussmäßig anzuordnen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aaO, Rz 113 Anm 2).</w:t>
      </w:r>
    </w:p>
    <w:p>
      <w:pPr>
        <w:widowControl w:val="on"/>
        <w:pBdr/>
        <w:spacing w:before="140" w:after="240" w:line="288" w:lineRule="auto"/>
        <w:ind w:left="0" w:right="0"/>
        <w:jc w:val="left"/>
      </w:pPr>
      <w:r>
        <w:rPr>
          <w:rFonts w:ascii="Arial" w:hAnsi="Arial" w:eastAsia="Arial" w:cs="Arial"/>
          <w:color w:val="000000"/>
          <w:sz w:val="20"/>
          <w:szCs w:val="20"/>
        </w:rPr>
        <w:t xml:space="preserve">Zu bemerken ist aber, dass grundsätzlich § 12 MRG über die
Abtretung der Mietrechte auch dann anwendbar ist, wenn ein
geschiedene Ehegatte dem anderen Teil die Wohnung überlässt, sofern
nur die Ehegatten bis dahin im gemeinsamen Haushalt gelebt haben
und der Grund der Überlassung der Mietrechte in der Scheidung der
Ehe gelegen ist. Dies ist umso mehr auf den Fall anzuwenden, dass
eine Ehewohnung anlässlich der im Zuge der einverständlichen
Scheidung zu treffenden Regelung des Gebrauchsvermögens dem anderen
Ehegatten überlassen wird (</w:t>
      </w:r>
      <w:r>
        <w:rPr>
          <w:rFonts w:ascii="Arial" w:hAnsi="Arial" w:eastAsia="Arial" w:cs="Arial"/>
          <w:i/>
          <w:iCs/>
          <w:color w:val="000000"/>
          <w:sz w:val="20"/>
          <w:szCs w:val="20"/>
        </w:rPr>
        <w:t xml:space="preserve">Gitschthaler</w:t>
      </w:r>
      <w:r>
        <w:rPr>
          <w:rFonts w:ascii="Arial" w:hAnsi="Arial" w:eastAsia="Arial" w:cs="Arial"/>
          <w:color w:val="000000"/>
          <w:sz w:val="20"/>
          <w:szCs w:val="20"/>
        </w:rPr>
        <w:t xml:space="preserve">, aaO, Rz 116
mwN).</w:t>
      </w:r>
    </w:p>
    <w:p>
      <w:pPr>
        <w:widowControl w:val="on"/>
        <w:pBdr/>
        <w:spacing w:before="140" w:after="240" w:line="288" w:lineRule="auto"/>
        <w:ind w:left="0" w:right="0"/>
        <w:jc w:val="left"/>
      </w:pPr>
      <w:r>
        <w:rPr>
          <w:rFonts w:ascii="Arial" w:hAnsi="Arial" w:eastAsia="Arial" w:cs="Arial"/>
          <w:color w:val="000000"/>
          <w:sz w:val="20"/>
          <w:szCs w:val="20"/>
        </w:rPr>
        <w:t xml:space="preserve">Zu beachten ist dabei jedenfalls, dass eine allfällige
Antragstellung analog § 98 EheG binnen der Jahresfrist des
§ 95 EheG gestellt werden muss.</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437292">
    <w:multiLevelType w:val="hybridMultilevel"/>
    <w:lvl w:ilvl="0" w:tplc="73614949">
      <w:start w:val="1"/>
      <w:numFmt w:val="decimal"/>
      <w:lvlText w:val="%1."/>
      <w:lvlJc w:val="left"/>
      <w:pPr>
        <w:ind w:left="720" w:hanging="360"/>
      </w:pPr>
    </w:lvl>
    <w:lvl w:ilvl="1" w:tplc="73614949" w:tentative="1">
      <w:start w:val="1"/>
      <w:numFmt w:val="lowerLetter"/>
      <w:lvlText w:val="%2."/>
      <w:lvlJc w:val="left"/>
      <w:pPr>
        <w:ind w:left="1440" w:hanging="360"/>
      </w:pPr>
    </w:lvl>
    <w:lvl w:ilvl="2" w:tplc="73614949" w:tentative="1">
      <w:start w:val="1"/>
      <w:numFmt w:val="lowerRoman"/>
      <w:lvlText w:val="%3."/>
      <w:lvlJc w:val="right"/>
      <w:pPr>
        <w:ind w:left="2160" w:hanging="180"/>
      </w:pPr>
    </w:lvl>
    <w:lvl w:ilvl="3" w:tplc="73614949" w:tentative="1">
      <w:start w:val="1"/>
      <w:numFmt w:val="decimal"/>
      <w:lvlText w:val="%4."/>
      <w:lvlJc w:val="left"/>
      <w:pPr>
        <w:ind w:left="2880" w:hanging="360"/>
      </w:pPr>
    </w:lvl>
    <w:lvl w:ilvl="4" w:tplc="73614949" w:tentative="1">
      <w:start w:val="1"/>
      <w:numFmt w:val="lowerLetter"/>
      <w:lvlText w:val="%5."/>
      <w:lvlJc w:val="left"/>
      <w:pPr>
        <w:ind w:left="3600" w:hanging="360"/>
      </w:pPr>
    </w:lvl>
    <w:lvl w:ilvl="5" w:tplc="73614949" w:tentative="1">
      <w:start w:val="1"/>
      <w:numFmt w:val="lowerRoman"/>
      <w:lvlText w:val="%6."/>
      <w:lvlJc w:val="right"/>
      <w:pPr>
        <w:ind w:left="4320" w:hanging="180"/>
      </w:pPr>
    </w:lvl>
    <w:lvl w:ilvl="6" w:tplc="73614949" w:tentative="1">
      <w:start w:val="1"/>
      <w:numFmt w:val="decimal"/>
      <w:lvlText w:val="%7."/>
      <w:lvlJc w:val="left"/>
      <w:pPr>
        <w:ind w:left="5040" w:hanging="360"/>
      </w:pPr>
    </w:lvl>
    <w:lvl w:ilvl="7" w:tplc="73614949" w:tentative="1">
      <w:start w:val="1"/>
      <w:numFmt w:val="lowerLetter"/>
      <w:lvlText w:val="%8."/>
      <w:lvlJc w:val="left"/>
      <w:pPr>
        <w:ind w:left="5760" w:hanging="360"/>
      </w:pPr>
    </w:lvl>
    <w:lvl w:ilvl="8" w:tplc="73614949" w:tentative="1">
      <w:start w:val="1"/>
      <w:numFmt w:val="lowerRoman"/>
      <w:lvlText w:val="%9."/>
      <w:lvlJc w:val="right"/>
      <w:pPr>
        <w:ind w:left="6480" w:hanging="180"/>
      </w:pPr>
    </w:lvl>
  </w:abstractNum>
  <w:abstractNum w:abstractNumId="66437291">
    <w:multiLevelType w:val="hybridMultilevel"/>
    <w:lvl w:ilvl="0" w:tplc="481604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437291">
    <w:abstractNumId w:val="66437291"/>
  </w:num>
  <w:num w:numId="66437292">
    <w:abstractNumId w:val="664372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42649466" Type="http://schemas.openxmlformats.org/officeDocument/2006/relationships/numbering" Target="numbering.xml"/><Relationship Id="rId184589416" Type="http://schemas.openxmlformats.org/officeDocument/2006/relationships/comments" Target="comments.xml"/><Relationship Id="rId19246a8b9d0b4f417" Type="http://schemas.openxmlformats.org/officeDocument/2006/relationships/hyperlink" Target="https://www.statistik.at/Indexrechner/" TargetMode="External"/><Relationship Id="rId70536a8b9d0b4f6bb" Type="http://schemas.openxmlformats.org/officeDocument/2006/relationships/hyperlink" Target="https://www.trennungundscheidung.at/elternberatung-vor-scheidung/berater/"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