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39943481" w:name="document"/>
    <w:bookmarkEnd w:id="39943481"/>
    <w:p/>
    <w:p>
      <w:pPr>
        <w:widowControl w:val="on"/>
        <w:pBdr/>
        <w:spacing w:before="0" w:after="280" w:line="240" w:lineRule="auto"/>
        <w:ind w:left="0" w:right="0"/>
        <w:jc w:val="left"/>
      </w:pPr>
      <w:r>
        <w:rPr>
          <w:rFonts w:ascii="Arial" w:hAnsi="Arial" w:eastAsia="Arial" w:cs="Arial"/>
          <w:color w:val="363A40"/>
          <w:sz w:val="24"/>
          <w:szCs w:val="24"/>
        </w:rPr>
        <w:t xml:space="preserve">Dokument-ID: 1076318 | Oliver Frohner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Antrag auf vorläufige Obsorgeregelung nach § 107 Abs 2
AußStrG</w:t>
      </w:r>
    </w:p>
    <w:p>
      <w:pPr>
        <w:widowControl w:val="on"/>
        <w:pBdr/>
        <w:spacing w:before="140" w:after="240" w:line="288" w:lineRule="auto"/>
        <w:ind w:left="0" w:right="0"/>
        <w:jc w:val="right"/>
      </w:pPr>
      <w:r>
        <w:rPr>
          <w:rFonts w:ascii="Arial" w:hAnsi="Arial" w:eastAsia="Arial" w:cs="Arial"/>
          <w:color w:val="000000"/>
          <w:sz w:val="20"/>
          <w:szCs w:val="20"/>
        </w:rPr>
        <w:t xml:space="preserve">Gebühreneinzug:</w:t>
      </w:r>
      <w:r>
        <w:rPr>
          <w:rFonts w:ascii="Arial" w:hAnsi="Arial" w:eastAsia="Arial" w:cs="Arial"/>
          <w:color w:val="000000"/>
          <w:sz w:val="20"/>
          <w:szCs w:val="20"/>
        </w:rPr>
        <w:br/>
        <w:t xml:space="preserve">Konto: …</w:t>
      </w:r>
      <w:r>
        <w:rPr>
          <w:rFonts w:ascii="Arial" w:hAnsi="Arial" w:eastAsia="Arial" w:cs="Arial"/>
          <w:color w:val="000000"/>
          <w:sz w:val="20"/>
          <w:szCs w:val="20"/>
        </w:rPr>
        <w:br/>
        <w:t xml:space="preserve">Bank: …</w:t>
      </w:r>
    </w:p>
    <w:p>
      <w:pPr>
        <w:widowControl w:val="on"/>
        <w:pBdr/>
        <w:spacing w:before="140" w:after="240" w:line="288" w:lineRule="auto"/>
        <w:ind w:left="0" w:right="0"/>
        <w:jc w:val="center"/>
      </w:pPr>
      <w:r>
        <w:rPr>
          <w:rFonts w:ascii="Arial" w:hAnsi="Arial" w:eastAsia="Arial" w:cs="Arial"/>
          <w:color w:val="000000"/>
          <w:sz w:val="20"/>
          <w:szCs w:val="20"/>
        </w:rPr>
        <w:t xml:space="preserve">Rechtsanwältin Mag. Barbara
Briefer</w:t>
      </w:r>
      <w:r>
        <w:rPr>
          <w:rFonts w:ascii="Arial" w:hAnsi="Arial" w:eastAsia="Arial" w:cs="Arial"/>
          <w:color w:val="000000"/>
          <w:sz w:val="20"/>
          <w:szCs w:val="20"/>
        </w:rPr>
        <w:br/>
        <w:t xml:space="preserve">Gumpendorfer Straße 83/4</w:t>
      </w:r>
      <w:r>
        <w:rPr>
          <w:rFonts w:ascii="Arial" w:hAnsi="Arial" w:eastAsia="Arial" w:cs="Arial"/>
          <w:color w:val="000000"/>
          <w:sz w:val="20"/>
          <w:szCs w:val="20"/>
        </w:rPr>
        <w:br/>
        <w:t xml:space="preserve">1060 Wien</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Bezirksgericht Meidling</w:t>
      </w:r>
      <w:r>
        <w:rPr>
          <w:rFonts w:ascii="Arial" w:hAnsi="Arial" w:eastAsia="Arial" w:cs="Arial"/>
          <w:color w:val="000000"/>
          <w:sz w:val="20"/>
          <w:szCs w:val="20"/>
        </w:rPr>
        <w:br/>
        <w:t xml:space="preserve">Schönbrunner Straße 222–228/3/5. OG</w:t>
      </w:r>
      <w:r>
        <w:rPr>
          <w:rFonts w:ascii="Arial" w:hAnsi="Arial" w:eastAsia="Arial" w:cs="Arial"/>
          <w:color w:val="000000"/>
          <w:sz w:val="20"/>
          <w:szCs w:val="20"/>
        </w:rPr>
        <w:br/>
        <w:t xml:space="preserve">1120 Wien</w:t>
      </w:r>
    </w:p>
    <w:p>
      <w:pPr>
        <w:widowControl w:val="on"/>
        <w:pBdr/>
        <w:spacing w:before="140" w:after="240" w:line="288" w:lineRule="auto"/>
        <w:ind w:left="0" w:right="0"/>
        <w:jc w:val="right"/>
      </w:pPr>
      <w:r>
        <w:rPr>
          <w:rFonts w:ascii="Arial" w:hAnsi="Arial" w:eastAsia="Arial" w:cs="Arial"/>
          <w:color w:val="000000"/>
          <w:sz w:val="20"/>
          <w:szCs w:val="20"/>
        </w:rPr>
        <w:t xml:space="preserve">GZ …</w:t>
      </w:r>
    </w:p>
    <w:p>
      <w:pPr>
        <w:widowControl w:val="on"/>
        <w:pBdr/>
        <w:spacing w:before="140" w:after="240" w:line="288" w:lineRule="auto"/>
        <w:ind w:left="0" w:right="0"/>
        <w:jc w:val="right"/>
      </w:pPr>
      <w:r>
        <w:rPr>
          <w:rFonts w:ascii="Arial" w:hAnsi="Arial" w:eastAsia="Arial" w:cs="Arial"/>
          <w:color w:val="000000"/>
          <w:sz w:val="20"/>
          <w:szCs w:val="20"/>
        </w:rPr>
        <w:t xml:space="preserve">Wien, am 15.10.2020</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Pflegschaftssache:</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Mj Tamara Bukowski, geb 03.01.2015</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Antragsteller: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Karl Bukowski, geb 02.03.1975</w:t>
            </w:r>
            <w:r>
              <w:rPr>
                <w:rFonts w:ascii="Arial" w:hAnsi="Arial" w:eastAsia="Arial" w:cs="Arial"/>
                <w:color w:val="000000"/>
                <w:position w:val="0"/>
                <w:sz w:val="20"/>
                <w:szCs w:val="20"/>
                <w:shd w:val="clear" w:color="auto" w:fill="FFFFFF"/>
              </w:rPr>
              <w:br/>
              <w:t xml:space="preserve">Rubinsteingasse 11/12, 1120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Mag. Barbara Briefer</w:t>
            </w:r>
            <w:r>
              <w:rPr>
                <w:rFonts w:ascii="Arial" w:hAnsi="Arial" w:eastAsia="Arial" w:cs="Arial"/>
                <w:color w:val="000000"/>
                <w:position w:val="0"/>
                <w:sz w:val="20"/>
                <w:szCs w:val="20"/>
                <w:shd w:val="clear" w:color="auto" w:fill="FFFFFF"/>
              </w:rPr>
              <w:br/>
              <w:t xml:space="preserve">Rechtsanwältin</w:t>
            </w:r>
            <w:r>
              <w:rPr>
                <w:rFonts w:ascii="Arial" w:hAnsi="Arial" w:eastAsia="Arial" w:cs="Arial"/>
                <w:color w:val="000000"/>
                <w:position w:val="0"/>
                <w:sz w:val="20"/>
                <w:szCs w:val="20"/>
                <w:shd w:val="clear" w:color="auto" w:fill="FFFFFF"/>
              </w:rPr>
              <w:br/>
              <w:t xml:space="preserve">Gumpendorfer Straße 83/4</w:t>
            </w:r>
            <w:r>
              <w:rPr>
                <w:rFonts w:ascii="Arial" w:hAnsi="Arial" w:eastAsia="Arial" w:cs="Arial"/>
                <w:color w:val="000000"/>
                <w:position w:val="0"/>
                <w:sz w:val="20"/>
                <w:szCs w:val="20"/>
                <w:shd w:val="clear" w:color="auto" w:fill="FFFFFF"/>
              </w:rPr>
              <w:br/>
              <w:t xml:space="preserve">1060 Wien</w:t>
            </w:r>
          </w:p>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Prozess- und Geldvollmacht erteilt:</w:t>
            </w:r>
            <w:r>
              <w:rPr>
                <w:rFonts w:ascii="Arial" w:hAnsi="Arial" w:eastAsia="Arial" w:cs="Arial"/>
                <w:color w:val="000000"/>
                <w:position w:val="0"/>
                <w:sz w:val="20"/>
                <w:szCs w:val="20"/>
                <w:shd w:val="clear" w:color="auto" w:fill="FFFFFF"/>
              </w:rPr>
              <w:br/>
              <w:t xml:space="preserve">gem § 19a RAO verlangt der gefertigte Anwalt</w:t>
            </w:r>
            <w:r>
              <w:rPr>
                <w:rFonts w:ascii="Arial" w:hAnsi="Arial" w:eastAsia="Arial" w:cs="Arial"/>
                <w:color w:val="000000"/>
                <w:position w:val="0"/>
                <w:sz w:val="20"/>
                <w:szCs w:val="20"/>
                <w:shd w:val="clear" w:color="auto" w:fill="FFFFFF"/>
              </w:rPr>
              <w:br/>
              <w:t xml:space="preserve">die Bezahlung sämtl Kosten zu seinen Handen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Antragsgegnerin: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Margarete Schwarz, geb 07.01.1977</w:t>
            </w:r>
            <w:r>
              <w:rPr>
                <w:rFonts w:ascii="Arial" w:hAnsi="Arial" w:eastAsia="Arial" w:cs="Arial"/>
                <w:color w:val="000000"/>
                <w:position w:val="0"/>
                <w:sz w:val="20"/>
                <w:szCs w:val="20"/>
                <w:shd w:val="clear" w:color="auto" w:fill="FFFFFF"/>
              </w:rPr>
              <w:br/>
              <w:t xml:space="preserve">Weissgasse 6/11, 1120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Obsorge, vorläufige Obsorge</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Antrag</w:t>
      </w:r>
    </w:p>
    <w:p>
      <w:pPr>
        <w:widowControl w:val="on"/>
        <w:pBdr/>
        <w:spacing w:before="140" w:after="240" w:line="288" w:lineRule="auto"/>
        <w:ind w:left="0" w:right="0"/>
        <w:jc w:val="right"/>
      </w:pPr>
      <w:r>
        <w:rPr>
          <w:rFonts w:ascii="Arial" w:hAnsi="Arial" w:eastAsia="Arial" w:cs="Arial"/>
          <w:color w:val="000000"/>
          <w:sz w:val="20"/>
          <w:szCs w:val="20"/>
        </w:rPr>
        <w:t xml:space="preserve">2-fach</w:t>
      </w:r>
      <w:r>
        <w:rPr>
          <w:rFonts w:ascii="Arial" w:hAnsi="Arial" w:eastAsia="Arial" w:cs="Arial"/>
          <w:color w:val="000000"/>
          <w:sz w:val="20"/>
          <w:szCs w:val="20"/>
        </w:rPr>
        <w:br/>
        <w:t xml:space="preserve">1 Beilage</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w:t>
      </w:r>
    </w:p>
    <w:p>
      <w:pPr>
        <w:widowControl w:val="on"/>
        <w:pBdr/>
        <w:spacing w:before="140" w:after="240" w:line="288" w:lineRule="auto"/>
        <w:ind w:left="0" w:right="0"/>
        <w:jc w:val="left"/>
      </w:pPr>
      <w:r>
        <w:rPr>
          <w:rFonts w:ascii="Arial" w:hAnsi="Arial" w:eastAsia="Arial" w:cs="Arial"/>
          <w:color w:val="000000"/>
          <w:sz w:val="20"/>
          <w:szCs w:val="20"/>
        </w:rPr>
        <w:t xml:space="preserve">In außen bezeichneter Pflegschaftssache gebe ich zunächst
bekannt, dass ich Mag. Barbara Briefer, Rechtsanwältin in 1060
Wien, Gumpendorfer Straße 83/4, mit meiner rechtsfreundlichen
Vertretung beauftragt habe und ich ersuche um Kenntnisnahme sowie
Zustellung sämtlicher gerichtlicher Schriftstücke zu Handen meiner
ausgewiesenen Vertreterin.</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II.</w:t>
      </w:r>
    </w:p>
    <w:p>
      <w:pPr>
        <w:widowControl w:val="on"/>
        <w:pBdr/>
        <w:spacing w:before="140" w:after="240" w:line="288" w:lineRule="auto"/>
        <w:ind w:left="0" w:right="0"/>
        <w:jc w:val="left"/>
      </w:pPr>
      <w:r>
        <w:rPr>
          <w:rFonts w:ascii="Arial" w:hAnsi="Arial" w:eastAsia="Arial" w:cs="Arial"/>
          <w:color w:val="000000"/>
          <w:sz w:val="20"/>
          <w:szCs w:val="20"/>
        </w:rPr>
        <w:t xml:space="preserve">Die Antragsgegnerin und ich sind Eltern der mj Tamara Bukowski,
geb 03.01.2015.</w:t>
      </w:r>
    </w:p>
    <w:p>
      <w:pPr>
        <w:widowControl w:val="on"/>
        <w:pBdr/>
        <w:spacing w:before="140" w:after="240" w:line="288" w:lineRule="auto"/>
        <w:ind w:left="0" w:right="0"/>
        <w:jc w:val="left"/>
      </w:pPr>
      <w:r>
        <w:rPr>
          <w:rFonts w:ascii="Arial" w:hAnsi="Arial" w:eastAsia="Arial" w:cs="Arial"/>
          <w:color w:val="000000"/>
          <w:sz w:val="20"/>
          <w:szCs w:val="20"/>
        </w:rPr>
        <w:t xml:space="preserve">Wir waren nie verheiratet, sondern haben von Sommer 2014 bis
Anfang September 2016 in einer Lebensgemeinschaft gelebt. Nach
ihrer Geburt haben wir für Tamara die Obsorge beider Elternteile
vereinbart.</w:t>
      </w:r>
    </w:p>
    <w:p>
      <w:pPr>
        <w:widowControl w:val="on"/>
        <w:pBdr/>
        <w:spacing w:before="140" w:after="240" w:line="288" w:lineRule="auto"/>
        <w:ind w:left="0" w:right="0"/>
        <w:jc w:val="left"/>
      </w:pPr>
      <w:r>
        <w:rPr>
          <w:rFonts w:ascii="Arial" w:hAnsi="Arial" w:eastAsia="Arial" w:cs="Arial"/>
          <w:color w:val="000000"/>
          <w:sz w:val="20"/>
          <w:szCs w:val="20"/>
        </w:rPr>
        <w:t xml:space="preserve">Meine Beziehung mit der Kindesmutter ist bedauerlicherweise
gescheitert, als unsere Tochter rund eineinhalb Jahre alt war,
seither leben wir getrennt.</w:t>
      </w:r>
    </w:p>
    <w:p>
      <w:pPr>
        <w:widowControl w:val="on"/>
        <w:pBdr/>
        <w:spacing w:before="140" w:after="240" w:line="288" w:lineRule="auto"/>
        <w:ind w:left="0" w:right="0"/>
        <w:jc w:val="left"/>
      </w:pPr>
      <w:r>
        <w:rPr>
          <w:rFonts w:ascii="Arial" w:hAnsi="Arial" w:eastAsia="Arial" w:cs="Arial"/>
          <w:color w:val="000000"/>
          <w:sz w:val="20"/>
          <w:szCs w:val="20"/>
        </w:rPr>
        <w:t xml:space="preserve">Eine Vereinbarung vor Gericht hinsichtlich des hauptsächlichen
Aufenthaltes von Tamara ist jedoch ebenso wenig erfolgt wie eine
beschlussmäßige Regelung.</w:t>
      </w:r>
    </w:p>
    <w:p>
      <w:pPr>
        <w:widowControl w:val="on"/>
        <w:pBdr/>
        <w:spacing w:before="140" w:after="240" w:line="288" w:lineRule="auto"/>
        <w:ind w:left="0" w:right="0"/>
        <w:jc w:val="left"/>
      </w:pPr>
      <w:r>
        <w:rPr>
          <w:rFonts w:ascii="Arial" w:hAnsi="Arial" w:eastAsia="Arial" w:cs="Arial"/>
          <w:color w:val="000000"/>
          <w:sz w:val="20"/>
          <w:szCs w:val="20"/>
        </w:rPr>
        <w:t xml:space="preserve">In weiterer Folge wurden die Kontakte dann dergestalt
außergerichtlich vereinbart bzw gelebt, daß ich Tamara an zwei
Nachmittagen pro Woche (Dienstag und Donnerstag) sowie an jedem
zweiten Wochenende samstags und sonntags ohne Übernachtungen sehen
konnte.</w:t>
      </w:r>
    </w:p>
    <w:p>
      <w:pPr>
        <w:widowControl w:val="on"/>
        <w:pBdr/>
        <w:spacing w:before="140" w:after="240" w:line="288" w:lineRule="auto"/>
        <w:ind w:left="0" w:right="0"/>
        <w:jc w:val="left"/>
      </w:pPr>
      <w:r>
        <w:rPr>
          <w:rFonts w:ascii="Arial" w:hAnsi="Arial" w:eastAsia="Arial" w:cs="Arial"/>
          <w:color w:val="000000"/>
          <w:sz w:val="20"/>
          <w:szCs w:val="20"/>
        </w:rPr>
        <w:t xml:space="preserve">Seit Ende August hat die Kindesmutter dann aber begonnen, jeden
Kontakt zwischen Tamara und mir zu unterbinden und dies zunächst
mit vermeintlichen Erkrankungen unserer Tochter begründet.</w:t>
      </w:r>
    </w:p>
    <w:p>
      <w:pPr>
        <w:widowControl w:val="on"/>
        <w:pBdr/>
        <w:spacing w:before="140" w:after="240" w:line="288" w:lineRule="auto"/>
        <w:ind w:left="0" w:right="0"/>
        <w:jc w:val="left"/>
      </w:pPr>
      <w:r>
        <w:rPr>
          <w:rFonts w:ascii="Arial" w:hAnsi="Arial" w:eastAsia="Arial" w:cs="Arial"/>
          <w:color w:val="000000"/>
          <w:sz w:val="20"/>
          <w:szCs w:val="20"/>
        </w:rPr>
        <w:t xml:space="preserve">In weiterer Folge räumte sie jedoch ein, dass ein von ihr
konsultierter „Heiler“ ihr von Kontakten zwischen mir und Tamara
„abgeraten“ habe, da ich von „bösen Geistern besessen“ wäre und
dies einen Einfluss auf unsere Tochter mit sich bringe. Dies hätte
sich auch schon dadurch manifestiert, dass Tamara regelmäßig über
Bauchschmerzen klage, was der Kinderarzt so zwar nicht erkennen
hätte wollen, aber ihr von dem „Heiler“ bestätigt worden wäre. Auch
wolle sie Tamara von dem von ihr bislang besuchten Kindergarten
abmelden, da sie auch hier einen „schlechten Einfluss“ auf unsere
Tochter sehe.</w:t>
      </w:r>
    </w:p>
    <w:p>
      <w:pPr>
        <w:widowControl w:val="on"/>
        <w:pBdr/>
        <w:spacing w:before="140" w:after="240" w:line="288" w:lineRule="auto"/>
        <w:ind w:left="0" w:right="0"/>
        <w:jc w:val="left"/>
      </w:pPr>
      <w:r>
        <w:rPr>
          <w:rFonts w:ascii="Arial" w:hAnsi="Arial" w:eastAsia="Arial" w:cs="Arial"/>
          <w:color w:val="000000"/>
          <w:sz w:val="20"/>
          <w:szCs w:val="20"/>
        </w:rPr>
        <w:t xml:space="preserve">Ich habe nunmehr große Sorge, dass die Kindesmutter derzeit
nicht in der Lage ist, sich in einer dem Kindeswohl unserer Tochter
entsprechenden Art und Weise zu verhalten, ihre Bedürfnisse zu
erkennen und sich um sie zu kümmern, sodass ich mich angesichts all
dieser Umstände und Geschehnisse nun zur gegenständlichen
Antragstellung gezwungen sehe.</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b/>
                <w:bCs/>
                <w:color w:val="000000"/>
                <w:position w:val="0"/>
                <w:sz w:val="20"/>
                <w:szCs w:val="20"/>
                <w:shd w:val="clear" w:color="auto" w:fill="FFFFFF"/>
              </w:rPr>
              <w:t xml:space="preserve">Beweis:</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Einzuholende Stellungnahme des Amtes für Jugend
und Familie</w:t>
            </w:r>
            <w:r>
              <w:rPr>
                <w:rFonts w:ascii="Arial" w:hAnsi="Arial" w:eastAsia="Arial" w:cs="Arial"/>
                <w:color w:val="000000"/>
                <w:position w:val="0"/>
                <w:sz w:val="20"/>
                <w:szCs w:val="20"/>
                <w:shd w:val="clear" w:color="auto" w:fill="FFFFFF"/>
              </w:rPr>
              <w:br/>
              <w:t xml:space="preserve">Im Bedarfsfall einzuholendes kinderpsychologisches
Sachverständigengutachten</w:t>
            </w:r>
            <w:r>
              <w:rPr>
                <w:rFonts w:ascii="Arial" w:hAnsi="Arial" w:eastAsia="Arial" w:cs="Arial"/>
                <w:color w:val="000000"/>
                <w:position w:val="0"/>
                <w:sz w:val="20"/>
                <w:szCs w:val="20"/>
                <w:shd w:val="clear" w:color="auto" w:fill="FFFFFF"/>
              </w:rPr>
              <w:br/>
              <w:t xml:space="preserve">Psychiatrisches Sachverständigengutachten betreffend
die Kindesmutter, dessen Einholung ich beantrage</w:t>
            </w:r>
            <w:r>
              <w:rPr>
                <w:rFonts w:ascii="Arial" w:hAnsi="Arial" w:eastAsia="Arial" w:cs="Arial"/>
                <w:color w:val="000000"/>
                <w:position w:val="0"/>
                <w:sz w:val="20"/>
                <w:szCs w:val="20"/>
                <w:shd w:val="clear" w:color="auto" w:fill="FFFFFF"/>
              </w:rPr>
              <w:br/>
              <w:t xml:space="preserve">PV</w:t>
            </w:r>
          </w:p>
        </w:tc>
      </w:tr>
    </w:tbl>
    <w:p>
      <w:pPr>
        <w:widowControl w:val="on"/>
        <w:pBdr/>
        <w:spacing w:before="140" w:after="240" w:line="288" w:lineRule="auto"/>
        <w:ind w:left="0" w:right="0"/>
        <w:jc w:val="left"/>
      </w:pPr>
      <w:r>
        <w:rPr>
          <w:rFonts w:ascii="Arial" w:hAnsi="Arial" w:eastAsia="Arial" w:cs="Arial"/>
          <w:color w:val="000000"/>
          <w:sz w:val="20"/>
          <w:szCs w:val="20"/>
        </w:rPr>
        <w:t xml:space="preserve">Aus den genannten Gründen stelle ich sohin den</w:t>
      </w:r>
    </w:p>
    <w:p>
      <w:pPr>
        <w:widowControl w:val="on"/>
        <w:pBdr/>
        <w:spacing w:before="400" w:after="60" w:line="346" w:lineRule="auto"/>
        <w:ind w:left="0" w:right="0"/>
        <w:jc w:val="center"/>
        <w:outlineLvl w:val="1"/>
      </w:pPr>
      <w:r>
        <w:rPr>
          <w:rFonts w:ascii="Arial" w:hAnsi="Arial" w:eastAsia="Arial" w:cs="Arial"/>
          <w:b/>
          <w:bCs/>
          <w:color w:val="363A40"/>
          <w:sz w:val="28"/>
          <w:szCs w:val="28"/>
        </w:rPr>
        <w:t xml:space="preserve">Antrag,</w:t>
      </w:r>
    </w:p>
    <w:p>
      <w:pPr>
        <w:numPr>
          <w:ilvl w:val="0"/>
          <w:numId w:val="9312446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Obsorge für die mj Tamara Bukowski, geb 03.01.2015, allein
auf mich zu übertragen; in eventu auszusprechen, dass der
hauptsächliche Aufenthalt der mj Tamara Bukowski, geb 03.01.2015,
unter Beibehaltung der gemeinsamen Obsorge hinkünftig von der
Kindesmutter, zu mir verlegt werde;</w:t>
      </w:r>
    </w:p>
    <w:p>
      <w:pPr>
        <w:numPr>
          <w:ilvl w:val="0"/>
          <w:numId w:val="931244685"/>
        </w:numPr>
        <w:spacing w:before="0" w:after="0" w:line="288" w:lineRule="auto"/>
        <w:jc w:val="left"/>
        <w:rPr>
          <w:rFonts w:ascii="Arial" w:hAnsi="Arial" w:eastAsia="Arial" w:cs="Arial"/>
          <w:color w:val="000000"/>
          <w:sz w:val="20"/>
          <w:szCs w:val="20"/>
        </w:rPr>
      </w:pPr>
      <w:r>
        <w:rPr>
          <w:rFonts w:ascii="Arial" w:hAnsi="Arial" w:eastAsia="Arial" w:cs="Arial"/>
          <w:color w:val="000000"/>
          <w:sz w:val="20"/>
          <w:szCs w:val="20"/>
        </w:rPr>
        <w:t xml:space="preserve">die Obsorge für die mj Tamara Bukowski, geb 03.01.2015,
vorläufig allein auf mich zu übertragen, in eventu auszusprechen,
dass der hauptsächliche Aufenthalt der mj Tamara Bukowski, geb
03.01.2015, vorläufig zu mir verlegt werde und dieser Entscheidung
vorläufige Verbindlichkeit und Vollstreckbarkeit zuzuerkennen.</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Karl Bukowski</w: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5429463" w:name="note1"/>
            <w:bookmarkEnd w:id="35429463"/>
            <w:bookmarkStart w:id="4991741004721" w:name="note1"/>
            <w:r>
              <w:rPr>
                <w:rFonts w:ascii="Arial" w:hAnsi="Arial" w:eastAsia="Arial" w:cs="Arial"/>
                <w:b/>
                <w:bCs/>
                <w:color w:val="000000"/>
                <w:position w:val="0"/>
                <w:sz w:val="20"/>
                <w:szCs w:val="20"/>
              </w:rPr>
              <w:t xml:space="preserve">[1]</w:t>
            </w:r>
            <w:bookmarkEnd w:id="4991741004721"/>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Grundsätzlich sind </w:t>
            </w:r>
            <w:r>
              <w:rPr>
                <w:rFonts w:ascii="Arial" w:hAnsi="Arial" w:eastAsia="Arial" w:cs="Arial"/>
                <w:b/>
                <w:bCs/>
                <w:color w:val="000000"/>
                <w:position w:val="0"/>
                <w:sz w:val="20"/>
                <w:szCs w:val="20"/>
              </w:rPr>
              <w:t xml:space="preserve">beide Elternteile</w:t>
            </w:r>
            <w:r>
              <w:rPr>
                <w:rFonts w:ascii="Arial" w:hAnsi="Arial" w:eastAsia="Arial" w:cs="Arial"/>
                <w:color w:val="000000"/>
                <w:position w:val="0"/>
                <w:sz w:val="20"/>
                <w:szCs w:val="20"/>
              </w:rPr>
              <w:t xml:space="preserve"> mit der
Obsorge für ein mj Kind betraut, wenn sie zum Zeitpunkt der Geburt
des Kindes miteinander verheiratet sind. Gleiches gilt ab dem
Zeitpunkt der Eheschließung, wenn sie einander nach der Geburt des
Kindes heiraten (§ 177 Abs 1 ABGB). Sind die Eltern zum
Zeitpunkt der Geburt des Kindes nicht miteinander verheiratet, so
ist an sich allein die Mutter mit der Obsorge betraut. Die Eltern
können aber vor dem Standesbeamten persönlich und unter
gleichzeitiger Anwesenheit nach einer Belehrung über die
Rechtsfolgen einmalig bestimmen, dass sie beide mit der Obsorge
betraut sind, sofern die Obsorge nicht bereits gerichtlich geregelt
ist (§ 177 Abs 2 ABGB).</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8827851" w:name="note2"/>
            <w:bookmarkEnd w:id="18827851"/>
            <w:bookmarkStart w:id="8640724025082" w:name="note2"/>
            <w:r>
              <w:rPr>
                <w:rFonts w:ascii="Arial" w:hAnsi="Arial" w:eastAsia="Arial" w:cs="Arial"/>
                <w:b/>
                <w:bCs/>
                <w:color w:val="000000"/>
                <w:position w:val="0"/>
                <w:sz w:val="20"/>
                <w:szCs w:val="20"/>
              </w:rPr>
              <w:t xml:space="preserve">[2]</w:t>
            </w:r>
            <w:bookmarkEnd w:id="864072402508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Sind beide Elternteile mit der Obsorge betraut und leben sie
nicht in häuslicher Gemeinschaft, so haben sie festzulegen, bei
welchem Elternteil sich das Kind </w:t>
            </w:r>
            <w:r>
              <w:rPr>
                <w:rFonts w:ascii="Arial" w:hAnsi="Arial" w:eastAsia="Arial" w:cs="Arial"/>
                <w:b/>
                <w:bCs/>
                <w:color w:val="000000"/>
                <w:position w:val="0"/>
                <w:sz w:val="20"/>
                <w:szCs w:val="20"/>
              </w:rPr>
              <w:t xml:space="preserve">hauptsächlich
aufhalten</w:t>
            </w:r>
            <w:r>
              <w:rPr>
                <w:rFonts w:ascii="Arial" w:hAnsi="Arial" w:eastAsia="Arial" w:cs="Arial"/>
                <w:color w:val="000000"/>
                <w:position w:val="0"/>
                <w:sz w:val="20"/>
                <w:szCs w:val="20"/>
              </w:rPr>
              <w:t xml:space="preserve"> soll (§ 177 Abs 4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Wird die Ehe oder die häusliche Gemeinschaft der Eltern
aufgelöst, so bleibt die Obsorge beider Eltern an sich aufrecht
(§ 179 Abs 1 S 1 ABGB); die Eltern haben vor Gericht
allerdings eine </w:t>
            </w:r>
            <w:r>
              <w:rPr>
                <w:rFonts w:ascii="Arial" w:hAnsi="Arial" w:eastAsia="Arial" w:cs="Arial"/>
                <w:b/>
                <w:bCs/>
                <w:color w:val="000000"/>
                <w:position w:val="0"/>
                <w:sz w:val="20"/>
                <w:szCs w:val="20"/>
              </w:rPr>
              <w:t xml:space="preserve">Vereinbarung</w:t>
            </w:r>
            <w:r>
              <w:rPr>
                <w:rFonts w:ascii="Arial" w:hAnsi="Arial" w:eastAsia="Arial" w:cs="Arial"/>
                <w:color w:val="000000"/>
                <w:position w:val="0"/>
                <w:sz w:val="20"/>
                <w:szCs w:val="20"/>
              </w:rPr>
              <w:t xml:space="preserve"> darüber zu schließen,
in wessen Haushalt das Kind hauptsächlich betreut wird (§ 179
Abs 2 ABGB). Kommt eine solche Vereinbarung nicht zustande,
hat das Gericht eine </w:t>
            </w:r>
            <w:r>
              <w:rPr>
                <w:rFonts w:ascii="Arial" w:hAnsi="Arial" w:eastAsia="Arial" w:cs="Arial"/>
                <w:b/>
                <w:bCs/>
                <w:color w:val="000000"/>
                <w:position w:val="0"/>
                <w:sz w:val="20"/>
                <w:szCs w:val="20"/>
              </w:rPr>
              <w:t xml:space="preserve">Entscheidung</w:t>
            </w:r>
            <w:r>
              <w:rPr>
                <w:rFonts w:ascii="Arial" w:hAnsi="Arial" w:eastAsia="Arial" w:cs="Arial"/>
                <w:color w:val="000000"/>
                <w:position w:val="0"/>
                <w:sz w:val="20"/>
                <w:szCs w:val="20"/>
              </w:rPr>
              <w:t xml:space="preserve"> entsprechend
§ 180 ABGB zu treffen.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1532526" w:name="note3"/>
            <w:bookmarkEnd w:id="61532526"/>
            <w:bookmarkStart w:id="3937250540940" w:name="note3"/>
            <w:r>
              <w:rPr>
                <w:rFonts w:ascii="Arial" w:hAnsi="Arial" w:eastAsia="Arial" w:cs="Arial"/>
                <w:b/>
                <w:bCs/>
                <w:color w:val="000000"/>
                <w:position w:val="0"/>
                <w:sz w:val="20"/>
                <w:szCs w:val="20"/>
              </w:rPr>
              <w:t xml:space="preserve">[3]</w:t>
            </w:r>
            <w:bookmarkEnd w:id="393725054094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Wurde die Obsorge iSv § 180 Abs 2 ABGB bereits
endgültig geregelt, so kann in weiterer Folge jeder Elternteil,
sofern sich die </w:t>
            </w:r>
            <w:r>
              <w:rPr>
                <w:rFonts w:ascii="Arial" w:hAnsi="Arial" w:eastAsia="Arial" w:cs="Arial"/>
                <w:b/>
                <w:bCs/>
                <w:color w:val="000000"/>
                <w:position w:val="0"/>
                <w:sz w:val="20"/>
                <w:szCs w:val="20"/>
              </w:rPr>
              <w:t xml:space="preserve">Verhältnisse maßgeblich geändert</w:t>
            </w:r>
            <w:r>
              <w:rPr>
                <w:rFonts w:ascii="Arial" w:hAnsi="Arial" w:eastAsia="Arial" w:cs="Arial"/>
                <w:color w:val="000000"/>
                <w:position w:val="0"/>
                <w:sz w:val="20"/>
                <w:szCs w:val="20"/>
              </w:rPr>
              <w:t xml:space="preserve">
haben, bei Gericht eine Neuregelung der Obsorge beantragen
(§ 180 Abs 3 S 1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nachträgliche Änderung einer bestehenden Obsorgeregelung
setzt zwar anders als eine Sicherungsverfügung nach § 181 ABGB
keine Gefährdung des Kindeswohls voraus. Die Änderung der
Verhältnisse muss aber derart </w:t>
            </w:r>
            <w:r>
              <w:rPr>
                <w:rFonts w:ascii="Arial" w:hAnsi="Arial" w:eastAsia="Arial" w:cs="Arial"/>
                <w:b/>
                <w:bCs/>
                <w:color w:val="000000"/>
                <w:position w:val="0"/>
                <w:sz w:val="20"/>
                <w:szCs w:val="20"/>
              </w:rPr>
              <w:t xml:space="preserve">gewichtig</w:t>
            </w:r>
            <w:r>
              <w:rPr>
                <w:rFonts w:ascii="Arial" w:hAnsi="Arial" w:eastAsia="Arial" w:cs="Arial"/>
                <w:color w:val="000000"/>
                <w:position w:val="0"/>
                <w:sz w:val="20"/>
                <w:szCs w:val="20"/>
              </w:rPr>
              <w:t xml:space="preserve"> sein, dass
das zu berücksichtigende Postulat der Erziehungskontinuität in den
Hintergrund tritt (8 Ob 152/17m iFamZ 2018/49 = Zak 2018/280).</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158372" w:name="note4"/>
            <w:bookmarkEnd w:id="5158372"/>
            <w:bookmarkStart w:id="5318232641908" w:name="note4"/>
            <w:r>
              <w:rPr>
                <w:rFonts w:ascii="Arial" w:hAnsi="Arial" w:eastAsia="Arial" w:cs="Arial"/>
                <w:b/>
                <w:bCs/>
                <w:color w:val="000000"/>
                <w:position w:val="0"/>
                <w:sz w:val="20"/>
                <w:szCs w:val="20"/>
              </w:rPr>
              <w:t xml:space="preserve">[4]</w:t>
            </w:r>
            <w:bookmarkEnd w:id="5318232641908"/>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Wenngleich nicht ausdrücklich angeführt, gilt </w:t>
            </w:r>
            <w:r>
              <w:rPr>
                <w:rFonts w:ascii="Arial" w:hAnsi="Arial" w:eastAsia="Arial" w:cs="Arial"/>
                <w:b/>
                <w:bCs/>
                <w:color w:val="000000"/>
                <w:position w:val="0"/>
                <w:sz w:val="20"/>
                <w:szCs w:val="20"/>
              </w:rPr>
              <w:t xml:space="preserve">§ 180
Abs 3 ABGB</w:t>
            </w:r>
            <w:r>
              <w:rPr>
                <w:rFonts w:ascii="Arial" w:hAnsi="Arial" w:eastAsia="Arial" w:cs="Arial"/>
                <w:color w:val="000000"/>
                <w:position w:val="0"/>
                <w:sz w:val="20"/>
                <w:szCs w:val="20"/>
              </w:rPr>
              <w:t xml:space="preserve"> – dem Zweck der Regelung entsprechend –
auch für den Fall, wonach zwar die vereinbarte Obsorge beider
Elternteile aufrecht erhalten werden soll, aber – wie hier – über
den Antrag eines Elternteils zu entscheiden ist, der eine
hauptsächliche Betreuung des Minderjährigen in seinem Haushalt
anstrebt (5 Ob 118/17i iFamZ 2017/208 = EF‑Z 2018/55). Eine
derartige Bestimmung des Aufenthaltsorts setzt daher gleichfalls
(bloß) eine „wesentliche Änderung der Verhältnisse“ voraus, nicht
aber eine Gefährdung des Kindeswohls iSd § 181 ABGB (3 Ob
212/14v).</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8354404" w:name="note5"/>
            <w:bookmarkEnd w:id="58354404"/>
            <w:bookmarkStart w:id="2032198361502" w:name="note5"/>
            <w:r>
              <w:rPr>
                <w:rFonts w:ascii="Arial" w:hAnsi="Arial" w:eastAsia="Arial" w:cs="Arial"/>
                <w:b/>
                <w:bCs/>
                <w:color w:val="000000"/>
                <w:position w:val="0"/>
                <w:sz w:val="20"/>
                <w:szCs w:val="20"/>
              </w:rPr>
              <w:t xml:space="preserve">[5]</w:t>
            </w:r>
            <w:bookmarkEnd w:id="203219836150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b/>
                <w:bCs/>
                <w:color w:val="000000"/>
                <w:position w:val="0"/>
                <w:sz w:val="20"/>
                <w:szCs w:val="20"/>
              </w:rPr>
              <w:t xml:space="preserve">Gefährden</w:t>
            </w:r>
            <w:r>
              <w:rPr>
                <w:rFonts w:ascii="Arial" w:hAnsi="Arial" w:eastAsia="Arial" w:cs="Arial"/>
                <w:color w:val="000000"/>
                <w:position w:val="0"/>
                <w:sz w:val="20"/>
                <w:szCs w:val="20"/>
              </w:rPr>
              <w:t xml:space="preserve"> die Eltern darüber hinaus durch ihr
Verhalten das Wohl des minderjährigen Kindes, so hat das Gericht,
von wem immer es angerufen wird, die zur Sicherung des Wohles des
Kindes nötigen Verfügungen zu treffen. Besonders darf das Gericht
die Obsorge für das Kind ganz oder teilweise, auch gesetzlich
vorgesehene Einwilligungs- und Zustimmungsrechte, entziehen
</w:t>
            </w:r>
            <w:r>
              <w:rPr>
                <w:rFonts w:ascii="Arial" w:hAnsi="Arial" w:eastAsia="Arial" w:cs="Arial"/>
                <w:b/>
                <w:bCs/>
                <w:color w:val="000000"/>
                <w:position w:val="0"/>
                <w:sz w:val="20"/>
                <w:szCs w:val="20"/>
              </w:rPr>
              <w:t xml:space="preserve">(§ 181 Abs 1 ABGB)</w:t>
            </w:r>
            <w:r>
              <w:rPr>
                <w:rFonts w:ascii="Arial" w:hAnsi="Arial" w:eastAsia="Arial" w:cs="Arial"/>
                <w:color w:val="000000"/>
                <w:position w:val="0"/>
                <w:sz w:val="20"/>
                <w:szCs w:val="20"/>
              </w:rPr>
              <w:t xml:space="preserve">. Die gänzliche oder
teilweise Entziehung der Pflege und Erziehung oder der Verwaltung
des Vermögens des Kindes schließt die Entziehung der gesetzlichen
Vertretung in dem jeweiligen Bereich mit ein; die gesetzliche
Vertretung in diesen Bereichen kann für sich allein entzogen
werden, wenn die Eltern oder der betreffende Elternteil ihre
übrigen Pflichten erfüllen (§ 181 Abs 3 ABGB). Durch eine
Verfügung nach § 181 darf das Gericht die Obsorge aber nur so
weit beschränken, als dies zur Sicherung des Wohles des Kindes
nötig ist (§ 182 ABGB).</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Wichtige Kriterien bei der Beurteilung des Kindeswohls werden
von § 138 ABGB definiert.</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76190842" w:name="note6"/>
            <w:bookmarkEnd w:id="76190842"/>
            <w:bookmarkStart w:id="847809096209" w:name="note6"/>
            <w:r>
              <w:rPr>
                <w:rFonts w:ascii="Arial" w:hAnsi="Arial" w:eastAsia="Arial" w:cs="Arial"/>
                <w:b/>
                <w:bCs/>
                <w:color w:val="000000"/>
                <w:position w:val="0"/>
                <w:sz w:val="20"/>
                <w:szCs w:val="20"/>
              </w:rPr>
              <w:t xml:space="preserve">[6]</w:t>
            </w:r>
            <w:bookmarkEnd w:id="84780909620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 107 Abs 2 AußStrG regelt – in Konkretisierung des
§ 181 Abs 1 ABGB – vorläufige Entscheidungen in Verfahren
über die Obsorge und die Ausübung des Rechts auf persönliche
Kontakte (ErläutRV 2004 dB 24. GP, 38): Gem </w:t>
            </w:r>
            <w:r>
              <w:rPr>
                <w:rFonts w:ascii="Arial" w:hAnsi="Arial" w:eastAsia="Arial" w:cs="Arial"/>
                <w:b/>
                <w:bCs/>
                <w:color w:val="000000"/>
                <w:position w:val="0"/>
                <w:sz w:val="20"/>
                <w:szCs w:val="20"/>
              </w:rPr>
              <w:t xml:space="preserve">§ 107
Abs 2 AußStrG</w:t>
            </w:r>
            <w:r>
              <w:rPr>
                <w:rFonts w:ascii="Arial" w:hAnsi="Arial" w:eastAsia="Arial" w:cs="Arial"/>
                <w:color w:val="000000"/>
                <w:position w:val="0"/>
                <w:sz w:val="20"/>
                <w:szCs w:val="20"/>
              </w:rPr>
              <w:t xml:space="preserve"> hat das Gericht die Obsorge und die
Ausübung des Rechts auf persönliche Kontakte nach Maßgabe des
Kindeswohls, insbesondere zur Aufrechterhaltung der verlässlichen
Kontakte und zur Schaffung von Rechtsklarheit, auch
</w:t>
            </w:r>
            <w:r>
              <w:rPr>
                <w:rFonts w:ascii="Arial" w:hAnsi="Arial" w:eastAsia="Arial" w:cs="Arial"/>
                <w:b/>
                <w:bCs/>
                <w:color w:val="000000"/>
                <w:position w:val="0"/>
                <w:sz w:val="20"/>
                <w:szCs w:val="20"/>
              </w:rPr>
              <w:t xml:space="preserve">vorläufig</w:t>
            </w:r>
            <w:r>
              <w:rPr>
                <w:rFonts w:ascii="Arial" w:hAnsi="Arial" w:eastAsia="Arial" w:cs="Arial"/>
                <w:color w:val="000000"/>
                <w:position w:val="0"/>
                <w:sz w:val="20"/>
                <w:szCs w:val="20"/>
              </w:rPr>
              <w:t xml:space="preserve"> einzuräumen oder zu entziehen.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Nach Absicht des Gesetzgebers sollen die Pflegschaftsgerichte
verhalten werden, schon dann eine vorläufige Entscheidung zu
treffen, wenn zwar für die endgültige Entscheidung noch
weitergehende Erhebungen (zB die Einholung eines
Sachverständigengutachtens) notwendig sind, aber eine rasche
Regelung der Obsorge oder der persönlichen Kontakte, die für die
Dauer des Verfahrens Klarheit schafft, das Kindeswohl (bloß)
fördert (ErläutRV 2004 dB 24. GP, 38). Dabei kann es sich etwa um
die vorläufige Einräumung (auch begleiteter) Besuchskontakte zu
einem Elternteil handeln, wenn sonst eine Entfremdung des Kindes zu
diesem Elternteil eintreten wird, oder generell um die vorläufige
Regelung der Obsorge oder der persönlichen Kontakte im Zusammenhang
mit der Auflösung der häuslichen Gemeinschaft der Eltern, wenn
dadurch eine Beruhigung der Situation für das Kind zu erwarten ist
(ErläutRV 2004 dB 24. GP, 38).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Mit dieser Regelung sollten nach dem Willen des Gesetzgebers die
Voraussetzungen für die Erlassung vorläufiger Maßnahmen in dem Sinn
reduziert werden, dass diese nicht mehr erst bei akuter Gefährdung
des Kindeswohls, sondern bereits zu dessen Förderung erfolgen
dürfen (ErläutRV 2004 BlgNR 24. GP, 38). Es geht also nunmehr
explizit um eine </w:t>
            </w:r>
            <w:r>
              <w:rPr>
                <w:rFonts w:ascii="Arial" w:hAnsi="Arial" w:eastAsia="Arial" w:cs="Arial"/>
                <w:b/>
                <w:bCs/>
                <w:color w:val="000000"/>
                <w:position w:val="0"/>
                <w:sz w:val="20"/>
                <w:szCs w:val="20"/>
              </w:rPr>
              <w:t xml:space="preserve">Kindeswohlförderung statt der bisherigen
bloßen Gefahrenabwehr</w:t>
            </w:r>
            <w:r>
              <w:rPr>
                <w:rFonts w:ascii="Arial" w:hAnsi="Arial" w:eastAsia="Arial" w:cs="Arial"/>
                <w:color w:val="000000"/>
                <w:position w:val="0"/>
                <w:sz w:val="20"/>
                <w:szCs w:val="20"/>
              </w:rPr>
              <w:t xml:space="preserve">. Bei § 107 Abs 2 AußStrG
idF KindNamRÄG 2013 kommt es sohin auf eine akute Gefährdung des
Kindeswohls nicht mehr an (RIS-Justiz RS0129538).</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80793492" w:name="note7"/>
            <w:bookmarkEnd w:id="80793492"/>
            <w:bookmarkStart w:id="5748978585130" w:name="note7"/>
            <w:r>
              <w:rPr>
                <w:rFonts w:ascii="Arial" w:hAnsi="Arial" w:eastAsia="Arial" w:cs="Arial"/>
                <w:b/>
                <w:bCs/>
                <w:color w:val="000000"/>
                <w:position w:val="0"/>
                <w:sz w:val="20"/>
                <w:szCs w:val="20"/>
              </w:rPr>
              <w:t xml:space="preserve">[7]</w:t>
            </w:r>
            <w:bookmarkEnd w:id="574897858513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Ausdrücklich vom Gesetz als dem Kindeswohl dienlich wird
zunächst die </w:t>
            </w:r>
            <w:r>
              <w:rPr>
                <w:rFonts w:ascii="Arial" w:hAnsi="Arial" w:eastAsia="Arial" w:cs="Arial"/>
                <w:b/>
                <w:bCs/>
                <w:color w:val="000000"/>
                <w:position w:val="0"/>
                <w:sz w:val="20"/>
                <w:szCs w:val="20"/>
              </w:rPr>
              <w:t xml:space="preserve">Aufrechterhaltung verlässlicher
Kontakte</w:t>
            </w:r>
            <w:r>
              <w:rPr>
                <w:rFonts w:ascii="Arial" w:hAnsi="Arial" w:eastAsia="Arial" w:cs="Arial"/>
                <w:color w:val="000000"/>
                <w:position w:val="0"/>
                <w:sz w:val="20"/>
                <w:szCs w:val="20"/>
              </w:rPr>
              <w:t xml:space="preserve"> benannt. Das zweite im Gesetz genannte Beispiel
für eine Kindeswohlförderung soll eine vorläufige Maßnahme
</w:t>
            </w:r>
            <w:r>
              <w:rPr>
                <w:rFonts w:ascii="Arial" w:hAnsi="Arial" w:eastAsia="Arial" w:cs="Arial"/>
                <w:b/>
                <w:bCs/>
                <w:color w:val="000000"/>
                <w:position w:val="0"/>
                <w:sz w:val="20"/>
                <w:szCs w:val="20"/>
              </w:rPr>
              <w:t xml:space="preserve">„zur Schaffung von Rechtsklarheit“</w:t>
            </w:r>
            <w:r>
              <w:rPr>
                <w:rFonts w:ascii="Arial" w:hAnsi="Arial" w:eastAsia="Arial" w:cs="Arial"/>
                <w:color w:val="000000"/>
                <w:position w:val="0"/>
                <w:sz w:val="20"/>
                <w:szCs w:val="20"/>
              </w:rPr>
              <w:t xml:space="preserve"> sein.</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Gemeint ist damit, dass mit einer vorläufigen Maßnahme während
einer Phase des familiären Umbruchs – etwa in den im Gesetz
ausdrücklich genannten Fällen der Auflösung der Ehe oder der
häuslichen Gemeinschaft der Eltern – eine gewisse Klärung
obsorgerechtlicher Zuständigkeiten erfolgen soll (5 Ob 144/14h
iFamZ 2014/216). § 107 Abs 2 AußstrG erlaubt also auch
eine vorläufige Obsorgeentscheidung nach Maßgabe des Kindeswohls,
zur Schaffung von Rechtsklarheit (6 Ob 170/16t Zak 2017/75 = iFamZ
2017/35 [Fucik]).</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Möglich soll damit nach der Rsp auch die einstweilige Regelung
einer sog Doppelresidenz des Kindes entsprechend einer bereits über
Jahre hinweg tatsächlich erfolgten annähernd gleichteiligen
Betreuung aus Anlass eines Antrages des unehelichen Vaters, die
gemeinsame Obsorge beider Eltern anzuordnen, sein (RIS-Justiz
RWZ0000196).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2050876" w:name="note8"/>
            <w:bookmarkEnd w:id="32050876"/>
            <w:bookmarkStart w:id="8115015141990" w:name="note8"/>
            <w:r>
              <w:rPr>
                <w:rFonts w:ascii="Arial" w:hAnsi="Arial" w:eastAsia="Arial" w:cs="Arial"/>
                <w:b/>
                <w:bCs/>
                <w:color w:val="000000"/>
                <w:position w:val="0"/>
                <w:sz w:val="20"/>
                <w:szCs w:val="20"/>
              </w:rPr>
              <w:t xml:space="preserve">[8]</w:t>
            </w:r>
            <w:bookmarkEnd w:id="8115015141990"/>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Gründe für vorläufige Maßnahmen nach § 107 Abs 2
AußStrG sind im Gesetz aber </w:t>
            </w:r>
            <w:r>
              <w:rPr>
                <w:rFonts w:ascii="Arial" w:hAnsi="Arial" w:eastAsia="Arial" w:cs="Arial"/>
                <w:b/>
                <w:bCs/>
                <w:color w:val="000000"/>
                <w:position w:val="0"/>
                <w:sz w:val="20"/>
                <w:szCs w:val="20"/>
              </w:rPr>
              <w:t xml:space="preserve">nicht abschließend</w:t>
            </w:r>
            <w:r>
              <w:rPr>
                <w:rFonts w:ascii="Arial" w:hAnsi="Arial" w:eastAsia="Arial" w:cs="Arial"/>
                <w:color w:val="000000"/>
                <w:position w:val="0"/>
                <w:sz w:val="20"/>
                <w:szCs w:val="20"/>
              </w:rPr>
              <w:t xml:space="preserve">
aufgezählt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13), so ist es etwa auch zulässig, im Rahmen einer
Provisorialmaßnahme nach dieser Bestimmung die Obsorge den Eltern
ganz oder teilweise zu entziehen und dem K-JHT zu übertragen (vgl 7
Ob 94/18a).</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33229903" w:name="note9"/>
            <w:bookmarkEnd w:id="33229903"/>
            <w:bookmarkStart w:id="5506580974823" w:name="note9"/>
            <w:r>
              <w:rPr>
                <w:rFonts w:ascii="Arial" w:hAnsi="Arial" w:eastAsia="Arial" w:cs="Arial"/>
                <w:b/>
                <w:bCs/>
                <w:color w:val="000000"/>
                <w:position w:val="0"/>
                <w:sz w:val="20"/>
                <w:szCs w:val="20"/>
              </w:rPr>
              <w:t xml:space="preserve">[9]</w:t>
            </w:r>
            <w:bookmarkEnd w:id="550658097482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eine vorläufige Entziehung der Obsorge stellt einen
Grundrechtseingriff dar und erfordert daher eine
</w:t>
            </w:r>
            <w:r>
              <w:rPr>
                <w:rFonts w:ascii="Arial" w:hAnsi="Arial" w:eastAsia="Arial" w:cs="Arial"/>
                <w:b/>
                <w:bCs/>
                <w:color w:val="000000"/>
                <w:position w:val="0"/>
                <w:sz w:val="20"/>
                <w:szCs w:val="20"/>
              </w:rPr>
              <w:t xml:space="preserve">Verhältnismäßigkeitsprüfung</w:t>
            </w:r>
            <w:r>
              <w:rPr>
                <w:rFonts w:ascii="Arial" w:hAnsi="Arial" w:eastAsia="Arial" w:cs="Arial"/>
                <w:color w:val="000000"/>
                <w:position w:val="0"/>
                <w:sz w:val="20"/>
                <w:szCs w:val="20"/>
              </w:rPr>
              <w:t xml:space="preserve">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13 mwN).</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3487675" w:name="note10"/>
            <w:bookmarkEnd w:id="13487675"/>
            <w:bookmarkStart w:id="4646571893809" w:name="note10"/>
            <w:r>
              <w:rPr>
                <w:rFonts w:ascii="Arial" w:hAnsi="Arial" w:eastAsia="Arial" w:cs="Arial"/>
                <w:b/>
                <w:bCs/>
                <w:color w:val="000000"/>
                <w:position w:val="0"/>
                <w:sz w:val="20"/>
                <w:szCs w:val="20"/>
              </w:rPr>
              <w:t xml:space="preserve">[10]</w:t>
            </w:r>
            <w:bookmarkEnd w:id="4646571893809"/>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Aufgrund der besonderen Eilbedürftigkeit von Entscheidungen nach
§ 107 Abs 2 AußStrG kann die Entscheidung an sich auf
Grundlage eines </w:t>
            </w:r>
            <w:r>
              <w:rPr>
                <w:rFonts w:ascii="Arial" w:hAnsi="Arial" w:eastAsia="Arial" w:cs="Arial"/>
                <w:b/>
                <w:bCs/>
                <w:color w:val="000000"/>
                <w:position w:val="0"/>
                <w:sz w:val="20"/>
                <w:szCs w:val="20"/>
              </w:rPr>
              <w:t xml:space="preserve">reduzierteren Tatsachensubstrats</w:t>
            </w:r>
            <w:r>
              <w:rPr>
                <w:rFonts w:ascii="Arial" w:hAnsi="Arial" w:eastAsia="Arial" w:cs="Arial"/>
                <w:color w:val="000000"/>
                <w:position w:val="0"/>
                <w:sz w:val="20"/>
                <w:szCs w:val="20"/>
              </w:rPr>
              <w:t xml:space="preserve">
getroffen werden; ansonsten für eine Endentscheidung erforderliche
Erhebungen können hier unterlassen werden, weil ansonsten ja gleich
endgültig entschieden werden könnte (</w:t>
            </w:r>
            <w:r>
              <w:rPr>
                <w:rFonts w:ascii="Arial" w:hAnsi="Arial" w:eastAsia="Arial" w:cs="Arial"/>
                <w:i/>
                <w:iCs/>
                <w:color w:val="000000"/>
                <w:position w:val="0"/>
                <w:sz w:val="20"/>
                <w:szCs w:val="20"/>
              </w:rPr>
              <w:t xml:space="preserve">Höllwerth</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Deixler-Hübner</w:t>
            </w:r>
            <w:r>
              <w:rPr>
                <w:rFonts w:ascii="Arial" w:hAnsi="Arial" w:eastAsia="Arial" w:cs="Arial"/>
                <w:color w:val="000000"/>
                <w:position w:val="0"/>
                <w:sz w:val="20"/>
                <w:szCs w:val="20"/>
              </w:rPr>
              <w:t xml:space="preserve">, Handbuch Familienrecht, 2016, 649). Dies
soll nach hA aber nicht bedeuten, dass bloß parate
Bescheinigungsmittel aufgenommen werden sollen – je mehr es nicht
um die Abwehr einer Kindeswohlgefährdung sondern um eine bloße
Förderung des Kindeswohls geht, wird ein umfangreicheres Verfahren
angezeigt sein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14). Nach den Materialien soll aber auch gerade in
eilbedürftigen Fällen die Familiengerichtshilfe dem Gericht rasch
die Grundlagen für die vorläufige Entscheidung liefern können
(ErläutRV 2004 BlgNR 24. GP, 38).</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451193" w:name="note11"/>
            <w:bookmarkEnd w:id="1451193"/>
            <w:bookmarkStart w:id="1448426656472" w:name="note11"/>
            <w:r>
              <w:rPr>
                <w:rFonts w:ascii="Arial" w:hAnsi="Arial" w:eastAsia="Arial" w:cs="Arial"/>
                <w:b/>
                <w:bCs/>
                <w:color w:val="000000"/>
                <w:position w:val="0"/>
                <w:sz w:val="20"/>
                <w:szCs w:val="20"/>
              </w:rPr>
              <w:t xml:space="preserve">[11]</w:t>
            </w:r>
            <w:bookmarkEnd w:id="1448426656472"/>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Da die Bestimmungen der EO über einstweilige Verfügungen auf
vorläufige Maßnahmen nach § 107 Abs 2 AußStrG keine
Anwendung finden, und demnach auch ein Widerspruch nach § 397
EO nicht möglich ist, ist bei einer allfälligen Einschränkung des
rechtlichen Gehörs aber ein strenger Maßstab anzulegen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15f).</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beachten ist allerdings, dass sich durch eine vorläufige
Obsorgezuteilung die Problematik ergeben kann, dass damit
allenfalls Fakten geschaffen werden und einer späteren endgültigen
Obsorgezuteilung in gewissem Maße vorgegriffen wird (5 Ob 144/14h
iFamZ 2014/216). § 107 Abs 2 AußStrG ist daher jedenfalls
mit </w:t>
            </w:r>
            <w:r>
              <w:rPr>
                <w:rFonts w:ascii="Arial" w:hAnsi="Arial" w:eastAsia="Arial" w:cs="Arial"/>
                <w:b/>
                <w:bCs/>
                <w:color w:val="000000"/>
                <w:position w:val="0"/>
                <w:sz w:val="20"/>
                <w:szCs w:val="20"/>
              </w:rPr>
              <w:t xml:space="preserve">Augenmaß</w:t>
            </w:r>
            <w:r>
              <w:rPr>
                <w:rFonts w:ascii="Arial" w:hAnsi="Arial" w:eastAsia="Arial" w:cs="Arial"/>
                <w:color w:val="000000"/>
                <w:position w:val="0"/>
                <w:sz w:val="20"/>
                <w:szCs w:val="20"/>
              </w:rPr>
              <w:t xml:space="preserve"> anzuwenden (EFSlg 152.134;
EFSlg 148.176; EFSlg 144.502).</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59971732" w:name="note12"/>
            <w:bookmarkEnd w:id="59971732"/>
            <w:bookmarkStart w:id="7030120029905" w:name="note12"/>
            <w:r>
              <w:rPr>
                <w:rFonts w:ascii="Arial" w:hAnsi="Arial" w:eastAsia="Arial" w:cs="Arial"/>
                <w:b/>
                <w:bCs/>
                <w:color w:val="000000"/>
                <w:position w:val="0"/>
                <w:sz w:val="20"/>
                <w:szCs w:val="20"/>
              </w:rPr>
              <w:t xml:space="preserve">[12]</w:t>
            </w:r>
            <w:bookmarkEnd w:id="7030120029905"/>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Entscheidungen nach § 107 Abs 2 AußStrG kommt
</w:t>
            </w:r>
            <w:r>
              <w:rPr>
                <w:rFonts w:ascii="Arial" w:hAnsi="Arial" w:eastAsia="Arial" w:cs="Arial"/>
                <w:b/>
                <w:bCs/>
                <w:color w:val="000000"/>
                <w:position w:val="0"/>
                <w:sz w:val="20"/>
                <w:szCs w:val="20"/>
              </w:rPr>
              <w:t xml:space="preserve">vorläufige Verbindlichkeit und Vollstreckbarkeit</w:t>
            </w:r>
            <w:r>
              <w:rPr>
                <w:rFonts w:ascii="Arial" w:hAnsi="Arial" w:eastAsia="Arial" w:cs="Arial"/>
                <w:color w:val="000000"/>
                <w:position w:val="0"/>
                <w:sz w:val="20"/>
                <w:szCs w:val="20"/>
              </w:rPr>
              <w:t xml:space="preserve">
zu, sofern das Gericht diese nicht ausschließt (§ 107
Abs 2 S 3 AußStrG).</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Wenn das Gericht im Einzelfall die Verbindlichkeit und
Vollstreckbarkeit seiner Entscheidung ausschließt, muss es diese
Vorgangsweise begründen (</w:t>
            </w:r>
            <w:r>
              <w:rPr>
                <w:rFonts w:ascii="Arial" w:hAnsi="Arial" w:eastAsia="Arial" w:cs="Arial"/>
                <w:i/>
                <w:iCs/>
                <w:color w:val="000000"/>
                <w:position w:val="0"/>
                <w:sz w:val="20"/>
                <w:szCs w:val="20"/>
              </w:rPr>
              <w:t xml:space="preserve">Beck</w:t>
            </w:r>
            <w:r>
              <w:rPr>
                <w:rFonts w:ascii="Arial" w:hAnsi="Arial" w:eastAsia="Arial" w:cs="Arial"/>
                <w:color w:val="000000"/>
                <w:position w:val="0"/>
                <w:sz w:val="20"/>
                <w:szCs w:val="20"/>
              </w:rPr>
              <w:t xml:space="preserve">, aaO, § 107 AußStrG
Rz 47). Im Übrigen soll § 44 AußStrG entsprechend gelten
§ 107 Abs 2 S 4 AußStrG), dh dass eine Änderung der
Entscheidung über die Aberkennung der (vorläufigen) Verbindlichkeit
und Vollstreckbarkeit nur dann erfolgen darf, wenn andernfalls –
iSd § 44 Abs 1 Satz 1 AußStrG – „erhebliche
Nachteile“ drohen, die auch bei Erfolg eines Rechtsmittels nicht
mehr beseitigt werden könnten (</w:t>
            </w:r>
            <w:r>
              <w:rPr>
                <w:rFonts w:ascii="Arial" w:hAnsi="Arial" w:eastAsia="Arial" w:cs="Arial"/>
                <w:i/>
                <w:iCs/>
                <w:color w:val="000000"/>
                <w:position w:val="0"/>
                <w:sz w:val="20"/>
                <w:szCs w:val="20"/>
              </w:rPr>
              <w:t xml:space="preserve">Höllwerth</w:t>
            </w:r>
            <w:r>
              <w:rPr>
                <w:rFonts w:ascii="Arial" w:hAnsi="Arial" w:eastAsia="Arial" w:cs="Arial"/>
                <w:color w:val="000000"/>
                <w:position w:val="0"/>
                <w:sz w:val="20"/>
                <w:szCs w:val="20"/>
              </w:rPr>
              <w:t xml:space="preserve"> in
</w:t>
            </w:r>
            <w:r>
              <w:rPr>
                <w:rFonts w:ascii="Arial" w:hAnsi="Arial" w:eastAsia="Arial" w:cs="Arial"/>
                <w:i/>
                <w:iCs/>
                <w:color w:val="000000"/>
                <w:position w:val="0"/>
                <w:sz w:val="20"/>
                <w:szCs w:val="20"/>
              </w:rPr>
              <w:t xml:space="preserve">Gitschthaler</w:t>
            </w:r>
            <w:r>
              <w:rPr>
                <w:rFonts w:ascii="Arial" w:hAnsi="Arial" w:eastAsia="Arial" w:cs="Arial"/>
                <w:color w:val="000000"/>
                <w:position w:val="0"/>
                <w:sz w:val="20"/>
                <w:szCs w:val="20"/>
              </w:rPr>
              <w:t xml:space="preserve">, KindNamRÄG 2013, 215; EFSlg 148.185; EFSlg
152.139). Die Entscheidung über die Zuerkennung kann geändert
werden, insbesondere wenn einem Rekurswerber erheblichere Nachteile
drohen, die bei einem Erfolg seines Rekurses nicht beseitigt werden
könnten. Für solche Entscheidungen ist nach der Vorlage des
Rechtsmittels das Rechtsmittelgericht zuständig (§ 44
Abs 1 AußStrG). Gegen Entscheidungen über die vorläufige
Verbindlichkeit oder Vollstreckbarkeit an sich ist ein Rechtsmittel
jedenfalls nicht zulässig (§ 44 Abs 2 AußStrG).</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43588856" w:name="note13"/>
            <w:bookmarkEnd w:id="43588856"/>
            <w:bookmarkStart w:id="4486358686974" w:name="note13"/>
            <w:r>
              <w:rPr>
                <w:rFonts w:ascii="Arial" w:hAnsi="Arial" w:eastAsia="Arial" w:cs="Arial"/>
                <w:b/>
                <w:bCs/>
                <w:color w:val="000000"/>
                <w:position w:val="0"/>
                <w:sz w:val="20"/>
                <w:szCs w:val="20"/>
              </w:rPr>
              <w:t xml:space="preserve">[13]</w:t>
            </w:r>
            <w:bookmarkEnd w:id="448635868697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Vorläufige Maßnahmen iSv § 107 Abs 2 AußStrG können
</w:t>
            </w:r>
            <w:r>
              <w:rPr>
                <w:rFonts w:ascii="Arial" w:hAnsi="Arial" w:eastAsia="Arial" w:cs="Arial"/>
                <w:b/>
                <w:bCs/>
                <w:color w:val="000000"/>
                <w:position w:val="0"/>
                <w:sz w:val="20"/>
                <w:szCs w:val="20"/>
              </w:rPr>
              <w:t xml:space="preserve">nur bis zur endgültigen Entscheidung</w:t>
            </w:r>
            <w:r>
              <w:rPr>
                <w:rFonts w:ascii="Arial" w:hAnsi="Arial" w:eastAsia="Arial" w:cs="Arial"/>
                <w:color w:val="000000"/>
                <w:position w:val="0"/>
                <w:sz w:val="20"/>
                <w:szCs w:val="20"/>
              </w:rPr>
              <w:t xml:space="preserve"> über die
Obsorge bzw das Kontaktrecht getroffen werden (5 Ob 258/11v iFamZ
2012/92 = EF‑Z 2012/131; 7 Ob 43/03d mwN; 3 Ob 74/09t, Zak
2009/383). Denkbar wäre auch eine ausdrückliche zeitliche
</w:t>
            </w:r>
            <w:r>
              <w:rPr>
                <w:rFonts w:ascii="Arial" w:hAnsi="Arial" w:eastAsia="Arial" w:cs="Arial"/>
                <w:b/>
                <w:bCs/>
                <w:color w:val="000000"/>
                <w:position w:val="0"/>
                <w:sz w:val="20"/>
                <w:szCs w:val="20"/>
              </w:rPr>
              <w:t xml:space="preserve">Befristung</w:t>
            </w:r>
            <w:r>
              <w:rPr>
                <w:rFonts w:ascii="Arial" w:hAnsi="Arial" w:eastAsia="Arial" w:cs="Arial"/>
                <w:color w:val="000000"/>
                <w:position w:val="0"/>
                <w:sz w:val="20"/>
                <w:szCs w:val="20"/>
              </w:rPr>
              <w:t xml:space="preserve">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107 AußStrG
Rz 16 mwN). Damit endet ihre Wirksamkeit jedenfalls mit der
Rechtskraft der endgültigen Obsorgeregelung (7 Ob 153/18b Zak
2018/665 = iFamZ 2018/199).</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19275970" w:name="note14"/>
            <w:bookmarkEnd w:id="19275970"/>
            <w:bookmarkStart w:id="6185220806883" w:name="note14"/>
            <w:r>
              <w:rPr>
                <w:rFonts w:ascii="Arial" w:hAnsi="Arial" w:eastAsia="Arial" w:cs="Arial"/>
                <w:b/>
                <w:bCs/>
                <w:color w:val="000000"/>
                <w:position w:val="0"/>
                <w:sz w:val="20"/>
                <w:szCs w:val="20"/>
              </w:rPr>
              <w:t xml:space="preserve">[14]</w:t>
            </w:r>
            <w:bookmarkEnd w:id="6185220806883"/>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Auch im Fall einer </w:t>
            </w:r>
            <w:r>
              <w:rPr>
                <w:rFonts w:ascii="Arial" w:hAnsi="Arial" w:eastAsia="Arial" w:cs="Arial"/>
                <w:b/>
                <w:bCs/>
                <w:color w:val="000000"/>
                <w:position w:val="0"/>
                <w:sz w:val="20"/>
                <w:szCs w:val="20"/>
              </w:rPr>
              <w:t xml:space="preserve">Rückziehung</w:t>
            </w:r>
            <w:r>
              <w:rPr>
                <w:rFonts w:ascii="Arial" w:hAnsi="Arial" w:eastAsia="Arial" w:cs="Arial"/>
                <w:color w:val="000000"/>
                <w:position w:val="0"/>
                <w:sz w:val="20"/>
                <w:szCs w:val="20"/>
              </w:rPr>
              <w:t xml:space="preserve"> des ursprünglich
gestellten Antrages ist die Provisorialverfügung aufzuheben
(</w:t>
            </w:r>
            <w:r>
              <w:rPr>
                <w:rFonts w:ascii="Arial" w:hAnsi="Arial" w:eastAsia="Arial" w:cs="Arial"/>
                <w:i/>
                <w:iCs/>
                <w:color w:val="000000"/>
                <w:position w:val="0"/>
                <w:sz w:val="20"/>
                <w:szCs w:val="20"/>
              </w:rPr>
              <w:t xml:space="preserve">Einberger</w:t>
            </w:r>
            <w:r>
              <w:rPr>
                <w:rFonts w:ascii="Arial" w:hAnsi="Arial" w:eastAsia="Arial" w:cs="Arial"/>
                <w:color w:val="000000"/>
                <w:position w:val="0"/>
                <w:sz w:val="20"/>
                <w:szCs w:val="20"/>
              </w:rPr>
              <w:t xml:space="preserve">, aaO, § 107 AußStrG Rz 16).</w:t>
            </w:r>
          </w:p>
        </w:tc>
      </w:tr>
    </w:tbl>
    <w:p/>
    <w:tbl>
      <w:tblPr>
        <w:tblStyle w:val="NormalTablePHPDOCX"/>
        <w:tblW w:w="0" w:type="auto"/>
        <w:tblInd w:w="0" w:type="auto"/>
        <w:tblBorders/>
      </w:tblPr>
      <w:tblGrid>
        <w:gridCol w:w="330"/>
        <w:gridCol w:w="4670"/>
      </w:tblGrid>
      <w:tr>
        <w:trPr>
          <w:trHeight w:val="0" w:hRule="atLeast"/>
        </w:trPr>
        <w:tc>
          <w:tcPr>
            <w:tcW w:w="330" w:type="pct"/>
            <w:tcMar>
              <w:top w:w="156" w:type="dxa"/>
              <w:left w:w="0" w:type="auto"/>
              <w:bottom w:w="78" w:type="dxa"/>
              <w:right w:w="0" w:type="auto"/>
            </w:tcMar>
            <w:vAlign w:val="top"/>
          </w:tcPr>
          <w:p>
            <w:pPr>
              <w:widowControl w:val="on"/>
              <w:pBdr/>
              <w:spacing w:before="0" w:after="0" w:line="288" w:lineRule="auto"/>
              <w:ind w:left="0" w:right="0"/>
              <w:jc w:val="left"/>
              <w:textAlignment w:val="top"/>
            </w:pPr>
            <w:bookmarkStart w:id="64362879" w:name="note15"/>
            <w:bookmarkEnd w:id="64362879"/>
            <w:bookmarkStart w:id="3252024837214" w:name="note15"/>
            <w:r>
              <w:rPr>
                <w:rFonts w:ascii="Arial" w:hAnsi="Arial" w:eastAsia="Arial" w:cs="Arial"/>
                <w:b/>
                <w:bCs/>
                <w:color w:val="000000"/>
                <w:position w:val="0"/>
                <w:sz w:val="20"/>
                <w:szCs w:val="20"/>
              </w:rPr>
              <w:t xml:space="preserve">[15]</w:t>
            </w:r>
            <w:bookmarkEnd w:id="3252024837214"/>
          </w:p>
        </w:tc>
        <w:tc>
          <w:tcPr>
            <w:tcW w:w="4670" w:type="pct"/>
            <w:tcMar>
              <w:top w:w="156" w:type="dxa"/>
              <w:left w:w="0" w:type="auto"/>
              <w:bottom w:w="78" w:type="dxa"/>
              <w:right w:w="0" w:type="auto"/>
            </w:tcMar>
            <w:vAlign w:val="top"/>
          </w:tcPr>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In Verfahren über die Obsorge und die persönlichen Kontakte
findet </w:t>
            </w:r>
            <w:r>
              <w:rPr>
                <w:rFonts w:ascii="Arial" w:hAnsi="Arial" w:eastAsia="Arial" w:cs="Arial"/>
                <w:b/>
                <w:bCs/>
                <w:color w:val="000000"/>
                <w:position w:val="0"/>
                <w:sz w:val="20"/>
                <w:szCs w:val="20"/>
              </w:rPr>
              <w:t xml:space="preserve">kein Kostenersatz</w:t>
            </w:r>
            <w:r>
              <w:rPr>
                <w:rFonts w:ascii="Arial" w:hAnsi="Arial" w:eastAsia="Arial" w:cs="Arial"/>
                <w:color w:val="000000"/>
                <w:position w:val="0"/>
                <w:sz w:val="20"/>
                <w:szCs w:val="20"/>
              </w:rPr>
              <w:t xml:space="preserve"> statt (§ 107
Abs 5 AußStrG). Im Verfahren außer Streitsachen kommt eine
analoge Anwendung des § 40 Abs 1 ZPO nicht in Betracht
(RIS-Justiz RS0131610).</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Zu beachten ist in diesem Zusammenhang aber, dass für
</w:t>
            </w:r>
            <w:r>
              <w:rPr>
                <w:rFonts w:ascii="Arial" w:hAnsi="Arial" w:eastAsia="Arial" w:cs="Arial"/>
                <w:b/>
                <w:bCs/>
                <w:color w:val="000000"/>
                <w:position w:val="0"/>
                <w:sz w:val="20"/>
                <w:szCs w:val="20"/>
              </w:rPr>
              <w:t xml:space="preserve">Sachverständigengebühren</w:t>
            </w:r>
            <w:r>
              <w:rPr>
                <w:rFonts w:ascii="Arial" w:hAnsi="Arial" w:eastAsia="Arial" w:cs="Arial"/>
                <w:color w:val="000000"/>
                <w:position w:val="0"/>
                <w:sz w:val="20"/>
                <w:szCs w:val="20"/>
              </w:rPr>
              <w:t xml:space="preserve">, die im Rahmen von
Pflegschaftsverfahren häufig einen nicht zu vernachlässigenden Teil
der Verfahrenskosten ausmachen können, § 2 Abs 1 GEG
gilt:</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Die Einholung eines Sachverständigengutachtens in
Obsorgeangelegenheiten ist regelmäßig im Interesse aller
verfahrensbeteiligten Personen, also einschließlich des Kindes (LGZ
Wien EFSlg 159.154). Soweit ersichtlich wird in der
zweitinstanzlichen Rsp mit Ausnahme jener des LG Salzburg davon
ausgegangen, dass mehrere Ersatzpflichtige anteilig haften, also
keine Haftung zur ungeteilten Hand eintritt (außer für mehrere
Personen innerhalb derselben Parteiseite (LG Eisenstadt EFSlg
159.158).</w:t>
            </w:r>
          </w:p>
          <w:p>
            <w:pPr>
              <w:widowControl w:val="on"/>
              <w:pBdr/>
              <w:spacing w:before="0" w:after="0" w:line="288" w:lineRule="auto"/>
              <w:ind w:left="0" w:right="0"/>
              <w:jc w:val="left"/>
              <w:textAlignment w:val="top"/>
            </w:pPr>
            <w:r>
              <w:rPr>
                <w:rFonts w:ascii="Arial" w:hAnsi="Arial" w:eastAsia="Arial" w:cs="Arial"/>
                <w:color w:val="000000"/>
                <w:position w:val="0"/>
                <w:sz w:val="20"/>
                <w:szCs w:val="20"/>
              </w:rPr>
              <w:t xml:space="preserve">Auf die Möglichkeit der Beantragung von
</w:t>
            </w:r>
            <w:r>
              <w:rPr>
                <w:rFonts w:ascii="Arial" w:hAnsi="Arial" w:eastAsia="Arial" w:cs="Arial"/>
                <w:b/>
                <w:bCs/>
                <w:color w:val="000000"/>
                <w:position w:val="0"/>
                <w:sz w:val="20"/>
                <w:szCs w:val="20"/>
              </w:rPr>
              <w:t xml:space="preserve">Verfahrenshilfe</w:t>
            </w:r>
            <w:r>
              <w:rPr>
                <w:rFonts w:ascii="Arial" w:hAnsi="Arial" w:eastAsia="Arial" w:cs="Arial"/>
                <w:color w:val="000000"/>
                <w:position w:val="0"/>
                <w:sz w:val="20"/>
                <w:szCs w:val="20"/>
              </w:rPr>
              <w:t xml:space="preserve">, vor allem für idR vermögens- und
einkommenslose mj Kinder sei in diesem Zusammenhang
hingewiesen.</w:t>
            </w:r>
          </w:p>
        </w:tc>
      </w:tr>
    </w:tbl>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31244685">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0430023">
    <w:multiLevelType w:val="hybridMultilevel"/>
    <w:lvl w:ilvl="0" w:tplc="27233677">
      <w:start w:val="1"/>
      <w:numFmt w:val="decimal"/>
      <w:lvlText w:val="%1."/>
      <w:lvlJc w:val="left"/>
      <w:pPr>
        <w:ind w:left="720" w:hanging="360"/>
      </w:pPr>
    </w:lvl>
    <w:lvl w:ilvl="1" w:tplc="27233677" w:tentative="1">
      <w:start w:val="1"/>
      <w:numFmt w:val="lowerLetter"/>
      <w:lvlText w:val="%2."/>
      <w:lvlJc w:val="left"/>
      <w:pPr>
        <w:ind w:left="1440" w:hanging="360"/>
      </w:pPr>
    </w:lvl>
    <w:lvl w:ilvl="2" w:tplc="27233677" w:tentative="1">
      <w:start w:val="1"/>
      <w:numFmt w:val="lowerRoman"/>
      <w:lvlText w:val="%3."/>
      <w:lvlJc w:val="right"/>
      <w:pPr>
        <w:ind w:left="2160" w:hanging="180"/>
      </w:pPr>
    </w:lvl>
    <w:lvl w:ilvl="3" w:tplc="27233677" w:tentative="1">
      <w:start w:val="1"/>
      <w:numFmt w:val="decimal"/>
      <w:lvlText w:val="%4."/>
      <w:lvlJc w:val="left"/>
      <w:pPr>
        <w:ind w:left="2880" w:hanging="360"/>
      </w:pPr>
    </w:lvl>
    <w:lvl w:ilvl="4" w:tplc="27233677" w:tentative="1">
      <w:start w:val="1"/>
      <w:numFmt w:val="lowerLetter"/>
      <w:lvlText w:val="%5."/>
      <w:lvlJc w:val="left"/>
      <w:pPr>
        <w:ind w:left="3600" w:hanging="360"/>
      </w:pPr>
    </w:lvl>
    <w:lvl w:ilvl="5" w:tplc="27233677" w:tentative="1">
      <w:start w:val="1"/>
      <w:numFmt w:val="lowerRoman"/>
      <w:lvlText w:val="%6."/>
      <w:lvlJc w:val="right"/>
      <w:pPr>
        <w:ind w:left="4320" w:hanging="180"/>
      </w:pPr>
    </w:lvl>
    <w:lvl w:ilvl="6" w:tplc="27233677" w:tentative="1">
      <w:start w:val="1"/>
      <w:numFmt w:val="decimal"/>
      <w:lvlText w:val="%7."/>
      <w:lvlJc w:val="left"/>
      <w:pPr>
        <w:ind w:left="5040" w:hanging="360"/>
      </w:pPr>
    </w:lvl>
    <w:lvl w:ilvl="7" w:tplc="27233677" w:tentative="1">
      <w:start w:val="1"/>
      <w:numFmt w:val="lowerLetter"/>
      <w:lvlText w:val="%8."/>
      <w:lvlJc w:val="left"/>
      <w:pPr>
        <w:ind w:left="5760" w:hanging="360"/>
      </w:pPr>
    </w:lvl>
    <w:lvl w:ilvl="8" w:tplc="27233677" w:tentative="1">
      <w:start w:val="1"/>
      <w:numFmt w:val="lowerRoman"/>
      <w:lvlText w:val="%9."/>
      <w:lvlJc w:val="right"/>
      <w:pPr>
        <w:ind w:left="6480" w:hanging="180"/>
      </w:pPr>
    </w:lvl>
  </w:abstractNum>
  <w:abstractNum w:abstractNumId="554820426">
    <w:multiLevelType w:val="hybridMultilevel"/>
    <w:lvl w:ilvl="0">
      <w:start w:val="1"/>
      <w:numFmt w:val="decimal"/>
      <w:lvlText w:val="%1."/>
      <w:lvlJc w:val="left"/>
      <w:pPr>
        <w:ind w:left="720" w:hanging="360"/>
      </w:pPr>
      <w:rPr/>
    </w:lvl>
    <w:lvl w:ilvl="1">
      <w:start w:val=""/>
      <w:numFmt w:val="decimal"/>
      <w:lvlText w:val="%2."/>
      <w:lvlJc w:val="left"/>
      <w:pPr>
        <w:ind w:left="1440" w:hanging="360"/>
      </w:pPr>
      <w:rPr/>
    </w:lvl>
    <w:lvl w:ilvl="2">
      <w:start w:val=""/>
      <w:numFmt w:val="decimal"/>
      <w:lvlText w:val="%3."/>
      <w:lvlJc w:val="left"/>
      <w:pPr>
        <w:ind w:left="2160" w:hanging="360"/>
      </w:pPr>
      <w:rPr/>
    </w:lvl>
    <w:lvl w:ilvl="3">
      <w:start w:val=""/>
      <w:numFmt w:val="decimal"/>
      <w:lvlText w:val="%4."/>
      <w:lvlJc w:val="left"/>
      <w:pPr>
        <w:ind w:left="2880" w:hanging="360"/>
      </w:pPr>
      <w:rPr/>
    </w:lvl>
    <w:lvl w:ilvl="4">
      <w:start w:val=""/>
      <w:numFmt w:val="decimal"/>
      <w:lvlText w:val="%5."/>
      <w:lvlJc w:val="left"/>
      <w:pPr>
        <w:ind w:left="3600" w:hanging="360"/>
      </w:pPr>
      <w:rPr/>
    </w:lvl>
    <w:lvl w:ilvl="5">
      <w:start w:val=""/>
      <w:numFmt w:val="decimal"/>
      <w:lvlText w:val="%6."/>
      <w:lvlJc w:val="left"/>
      <w:pPr>
        <w:ind w:left="4320" w:hanging="360"/>
      </w:pPr>
      <w:rPr/>
    </w:lvl>
    <w:lvl w:ilvl="6">
      <w:start w:val=""/>
      <w:numFmt w:val="decimal"/>
      <w:lvlText w:val="%7."/>
      <w:lvlJc w:val="left"/>
      <w:pPr>
        <w:ind w:left="5040" w:hanging="360"/>
      </w:pPr>
      <w:rPr/>
    </w:lvl>
    <w:lvl w:ilvl="7">
      <w:start w:val=""/>
      <w:numFmt w:val="decimal"/>
      <w:lvlText w:val="%8."/>
      <w:lvlJc w:val="left"/>
      <w:pPr>
        <w:ind w:left="5760" w:hanging="360"/>
      </w:pPr>
      <w:rPr/>
    </w:lvl>
    <w:lvl w:ilvl="8">
      <w:start w:val=""/>
      <w:numFmt w:val="decimal"/>
      <w:lvlText w:val="%9."/>
      <w:lvlJc w:val="left"/>
      <w:pPr>
        <w:ind w:left="6480" w:hanging="360"/>
      </w:pPr>
      <w:rPr/>
    </w:lvl>
  </w:abstractNum>
  <w:abstractNum w:abstractNumId="40430022">
    <w:multiLevelType w:val="hybridMultilevel"/>
    <w:lvl w:ilvl="0" w:tplc="15734588">
      <w:start w:val="1"/>
      <w:numFmt w:val="decimal"/>
      <w:lvlText w:val="%1."/>
      <w:lvlJc w:val="left"/>
      <w:pPr>
        <w:ind w:left="720" w:hanging="360"/>
      </w:pPr>
    </w:lvl>
    <w:lvl w:ilvl="1" w:tplc="15734588" w:tentative="1">
      <w:start w:val="1"/>
      <w:numFmt w:val="lowerLetter"/>
      <w:lvlText w:val="%2."/>
      <w:lvlJc w:val="left"/>
      <w:pPr>
        <w:ind w:left="1440" w:hanging="360"/>
      </w:pPr>
    </w:lvl>
    <w:lvl w:ilvl="2" w:tplc="15734588" w:tentative="1">
      <w:start w:val="1"/>
      <w:numFmt w:val="lowerRoman"/>
      <w:lvlText w:val="%3."/>
      <w:lvlJc w:val="right"/>
      <w:pPr>
        <w:ind w:left="2160" w:hanging="180"/>
      </w:pPr>
    </w:lvl>
    <w:lvl w:ilvl="3" w:tplc="15734588" w:tentative="1">
      <w:start w:val="1"/>
      <w:numFmt w:val="decimal"/>
      <w:lvlText w:val="%4."/>
      <w:lvlJc w:val="left"/>
      <w:pPr>
        <w:ind w:left="2880" w:hanging="360"/>
      </w:pPr>
    </w:lvl>
    <w:lvl w:ilvl="4" w:tplc="15734588" w:tentative="1">
      <w:start w:val="1"/>
      <w:numFmt w:val="lowerLetter"/>
      <w:lvlText w:val="%5."/>
      <w:lvlJc w:val="left"/>
      <w:pPr>
        <w:ind w:left="3600" w:hanging="360"/>
      </w:pPr>
    </w:lvl>
    <w:lvl w:ilvl="5" w:tplc="15734588" w:tentative="1">
      <w:start w:val="1"/>
      <w:numFmt w:val="lowerRoman"/>
      <w:lvlText w:val="%6."/>
      <w:lvlJc w:val="right"/>
      <w:pPr>
        <w:ind w:left="4320" w:hanging="180"/>
      </w:pPr>
    </w:lvl>
    <w:lvl w:ilvl="6" w:tplc="15734588" w:tentative="1">
      <w:start w:val="1"/>
      <w:numFmt w:val="decimal"/>
      <w:lvlText w:val="%7."/>
      <w:lvlJc w:val="left"/>
      <w:pPr>
        <w:ind w:left="5040" w:hanging="360"/>
      </w:pPr>
    </w:lvl>
    <w:lvl w:ilvl="7" w:tplc="15734588" w:tentative="1">
      <w:start w:val="1"/>
      <w:numFmt w:val="lowerLetter"/>
      <w:lvlText w:val="%8."/>
      <w:lvlJc w:val="left"/>
      <w:pPr>
        <w:ind w:left="5760" w:hanging="360"/>
      </w:pPr>
    </w:lvl>
    <w:lvl w:ilvl="8" w:tplc="15734588" w:tentative="1">
      <w:start w:val="1"/>
      <w:numFmt w:val="lowerRoman"/>
      <w:lvlText w:val="%9."/>
      <w:lvlJc w:val="right"/>
      <w:pPr>
        <w:ind w:left="6480" w:hanging="180"/>
      </w:pPr>
    </w:lvl>
  </w:abstractNum>
  <w:abstractNum w:abstractNumId="40430021">
    <w:multiLevelType w:val="hybridMultilevel"/>
    <w:lvl w:ilvl="0" w:tplc="8242976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0430021">
    <w:abstractNumId w:val="40430021"/>
  </w:num>
  <w:num w:numId="40430022">
    <w:abstractNumId w:val="40430022"/>
  </w:num>
  <w:num w:numId="554820426">
    <w:abstractNumId w:val="554820426"/>
  </w:num>
  <w:num w:numId="40430023">
    <w:abstractNumId w:val="40430023"/>
  </w:num>
  <w:num w:numId="931244685">
    <w:abstractNumId w:val="93124468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765520343" Type="http://schemas.openxmlformats.org/officeDocument/2006/relationships/numbering" Target="numbering.xml"/><Relationship Id="rId632024125"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