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35363761" w:name="document"/>
    <w:bookmarkEnd w:id="35363761"/>
    <w:p/>
    <w:p>
      <w:pPr>
        <w:widowControl w:val="on"/>
        <w:pBdr/>
        <w:spacing w:before="0" w:after="280" w:line="240" w:lineRule="auto"/>
        <w:ind w:left="0" w:right="0"/>
        <w:jc w:val="left"/>
      </w:pPr>
      <w:r>
        <w:rPr>
          <w:rFonts w:ascii="Arial" w:hAnsi="Arial" w:eastAsia="Arial" w:cs="Arial"/>
          <w:color w:val="363A40"/>
          <w:sz w:val="24"/>
          <w:szCs w:val="24"/>
        </w:rPr>
        <w:t xml:space="preserve">Dokument-ID: 1244372 | Brigitta Hülle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Scheidungsvergleich (gemeinsame Obsorge mit Doppelresidenz,
Fixunterhalt, Mietwohnung)</w:t>
      </w:r>
    </w:p>
    <w:p>
      <w:pPr>
        <w:widowControl w:val="on"/>
        <w:pBdr/>
        <w:spacing w:before="140" w:after="240" w:line="288" w:lineRule="auto"/>
        <w:ind w:left="0" w:right="0"/>
        <w:jc w:val="left"/>
      </w:pPr>
      <w:r>
        <w:rPr>
          <w:rFonts w:ascii="Arial" w:hAnsi="Arial" w:eastAsia="Arial" w:cs="Arial"/>
          <w:b/>
          <w:bCs/>
          <w:color w:val="000000"/>
          <w:sz w:val="20"/>
          <w:szCs w:val="20"/>
        </w:rPr>
        <w:t xml:space="preserve">Vorbemerkungen</w:t>
      </w:r>
      <w:r>
        <w:rPr>
          <w:rFonts w:ascii="Arial" w:hAnsi="Arial" w:eastAsia="Arial" w:cs="Arial"/>
          <w:color w:val="000000"/>
          <w:sz w:val="20"/>
          <w:szCs w:val="20"/>
        </w:rPr>
        <w:br/>
        <w:t xml:space="preserve">Dieses Muster stellt einen typischen Vergleich dar, wie er im Zuge
einer einvernehmlichen Ehescheidung nach § 55a EheG
abgeschlossen werden kann. Die konkrete Variante enthält neben
anderen üblichen Bestimmungen insbesondere im Unterhaltsbereich
einen Fixunterhalt mit Wertsicherungsklausel, im Obsorgebereich
gemeinsame Obsorge mit einer Doppelresidenz und hinsichtlich der
ehelichen Wohnung die Regelung der zukünftigen Nutzung einer
Mietwohnung. In den Anmerkungen wird aktuelle Judikatur zur
Doppelresidenz und dem so genannten „betreuungsrechtlichen
Unterhaltsmodell“ dargestellt.</w:t>
      </w:r>
    </w:p>
    <w:p>
      <w:r>
        <w:pict>
          <v:rect id="_x0000_i1026" style="width:0;height:1.5pt" o:hralign="center" o:hrstd="t" o:hr="t" o:hrnoshade="t" fillcolor="#a0a0a0" stroked="f"/>
        </w:pict>
      </w:r>
    </w:p>
    <w:p>
      <w:pPr>
        <w:widowControl w:val="on"/>
        <w:pBdr/>
        <w:spacing w:before="140" w:after="240" w:line="288" w:lineRule="auto"/>
        <w:ind w:left="0" w:right="0"/>
        <w:jc w:val="left"/>
      </w:pPr>
      <w:r>
        <w:rPr>
          <w:rFonts w:ascii="Arial" w:hAnsi="Arial" w:eastAsia="Arial" w:cs="Arial"/>
          <w:color w:val="000000"/>
          <w:sz w:val="20"/>
          <w:szCs w:val="20"/>
        </w:rPr>
        <w:t xml:space="preserve">Für den Fall der Rechtskraft der einvernehmlichen Scheidung
schließen der Ehemann, Jerome Just, geb 15.05.1975, und die
Ehefrau, Jacqueline Just, geb 19.09.1976, nachstehenden</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Vergleich:</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1. Ehegattenunterhalt</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Ehemann Jerome Just, geb 15.05.1975, verpflichtet sich, zum
Unterhalt der Ehefrau Jacqueline Just, geb 19.09.1976, für die Zeit
von 01.11.2023 bis 31.05.2025 einen monatlichen Unterhalt von
EUR 650,– am Ersten eines jeden Monats im Vorhinein zu
bezahlen. Der vereinbarte Unterhalt wird anhand des VPI 2020
(Ausgangsindex der für den Monat der Rechtskraft der
einvernehmlichen Ehescheidung vereinbarte Indexwert) wertgesichert,
wobei Schwankungen bis zu 5 % nach oben oder unten
unberücksichtigt bleiben, sich nach Überschreiten dieser Schwelle
jedoch voll auswirken. Die Wertsicherung erfolgt dergestalt, dass
beginnend mit 2025 per Jänner der zu leistende Unterhaltsbetrag
anhand der für Dezember des abgelaufenen Jahres verlautbarten
Indexzahl angepasst wird.</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Sollte der angeführte Faktor nicht mehr veröffentlicht werden,
tritt an dessen Stelle sein Nachfolgefaktor. Wird kein solcher
Faktor mehr veröffentlicht, ist jener Indikator zu wählen, der dem
weggefallenen Faktor wirtschaftlich am nächsten kommt.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Vorbehaltlich der im Vorstehenden vereinbarten Wertsicherung
sowie des genannten Zeitraumes unterliegt der geschuldete Unterhalt
keinerlei Veränderungen, sondern es wird ohne Rücksicht auf die
Einkommens- und Vermögensverhältnisse beider Teile, Wegfall oder
Hin-zukommen weiterer Sorgepflichten, die Umstandsklausel gänzlich
ausgeschlossen.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Parteien verzichten darüber hinaus in Kenntnis der
einschlägigen Rechtsprechung des Obersten Gerichtshofes (3 Ob
229/98t; 6 Ob 163/04w; 7 Ob 98/05w, 6 Ob 2012/08g) und der
jeweiligen Einkommens- und Vermögensverhältnisse, wechselseitig auf
jegliche weiteren Unterhaltsansprüche aus welchem Titel auch immer.
Dies gilt auch für den Fall geänderter Verhältnisse, insbesondere
auch für den Fall der er-warteten oder unerwarteten, der
verschuldeten oder unverschuldeten sowie der bedachten oder derzeit
nicht bedachten Not oder Krankheit. Sie nehmen diesen
Unterhaltsverzicht wechselseitig an, der somit auch dann gilt, wenn
Ereignisse, die für die beiden heute nicht absehbar sind, die
Verhältnisse, welche diesem Unterhaltsverzicht zugrunde liegen,
wesentlich ändern.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Ehemann und die Ehefrau erklären außerdem, wechselseitig auf
die Geltendmachung allenfalls gesetzter Eheverfehlungen zu
verzichten bzw diese einander mit Rechtskraft der Scheidung der
zwischen ihnen geschlossenen Ehe zu verzeihen. Beide erklären also,
auch in Zukunft aus einem allfälligen, bewusst nicht geprüften
Verschulden an der Zerrüttung der Ehe keine Rechtsfolgen ableiten
zu wollen.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Beide verzichten außerdem auf die Geltendmachung der
Sittenwidrigkeit eines allfälligen Beharrens des anderen Teils auf
dem Ausschluss der Umstandsklausel.</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Für den Fall einer Wiederverehelichung der Ehefrau erlischt der
sub 1.1 geregelte Unterhaltsanspruch mit dem auf die
Wiederverehelichung folgenden Monatsersten, für den Fall einer
Lebensgemeinschaft der Ehefrau ruht ihr Unterhaltsanspruch für die
Dauer derselben.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Unterhaltsrückstände welcher Art auch immer bestehen darüber
hinaus jedenfalls nicht.</w:t>
            </w:r>
          </w:p>
        </w:tc>
      </w:tr>
    </w:tbl>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2. Gemeinsame mj Kinder</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Obsorge für die mj Johanna Just, geb 01.09.2012, kommt auch
nach Durchführung der Ehescheidung beiden Elternteilen, also sowohl
der Kindesmutter, Jaqueline Just, geb 19.09.1976, als auch dem
Kindesvater, Jerome Just, geb 15.05.1975, zu.</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faktische Betreuung der Minderjährigen erfolgt durch beide
Elternteile im zeitlich gleichen Ausmaß (Doppelresidenz).</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hauptsächliche Betreuung im Sinne der primären Wahrnehmung
jener Aufgaben, deren Grundlage ein bestimmter Aufenthalt der
Minderjährigen ist, also beispielsweise Bestimmung des gemeldeten
Hauptwohnsitzes, Familienbeihilfe oder Wohnbeihilfe, nicht jedoch
die Bestimmung des Wohnortes im In- und Ausland iSd § 162
Abs 2 ABGB, kommt der Kindesmutter zu.</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faktische Betreuung der Minderjährigen soll dergestalt
erfolgen, dass sich die Kindeseltern in der Betreuung jeweils
wochenweise abwechseln, dh beginnend mit der Rechtskraft der
einvernehmlichen Ehescheidung wird die Minderjährige in den geraden
Kalenderwochen von Montag (Schulschluss) bis zum Morgen des
folgenden Montages (Schulbeginn) von der Kindesmutter betreut; der
Kindesvater holt sie sodann am Montag (Schulschluss) ab, und die
Minderjährige wird dann die Zeit bis zum darauffolgenden Montag
(Schulbeginn) von ihm betreut.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Den Geburtstag der Minderjährigen sowie das Weihnachtsfest am
24.12. verbringen die Kindeseltern gemeinsam mit ihr. Hinsichtlich
der übrigen Ferienzeiten und Feiertage kommen die Kindeseltern
überein, diese mit Rücksicht aufeinander und die Bedürfnisse des
Kindes beachtend dergestalt aufzuteilen, dass die Minderjährige
diese je zur Hälfte beim Kindesvater und der Kindesmutter
verbringt.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Kindeseltern kommen überein, jeweils bis zum 31.12. eines
jeden Jahres einvernehmlich einen Betreuungsplan über die
Ferienzeiten des darauffolgenden Jahres zu erarbeiten. Sollte solch
ein Betreuungsplan nicht zustande kommen, ist der Kindesvater
berechtigt, die Minderjährige in den Weihnachtsferien am 25.12.,
9:00 Uhr bis 19:00 Uhr, sowie jährlich alternierend von 27.12.
morgens bis 01.01. mittags bzw 01.01. mittags bis 06.01. abends die
Hälfte der verbleibenden Ferientage (beginnend 2023/2024 von
27.12.2023, 9:00 Uhr, bis 01.01.2024 mittags), sowie in den geraden
Jahren in den Osterferien, in den ungeraden Jahren in den
Semesterferien, die jeweils erste Hälfe der Herbstferien, sowie
vier Wochen in den Sommerferien (die ersten zwei Juli- sowie die
ersten zwei Augustwochen) zu sich zu nehmen.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In Ansehung des Kindesunterhalts der mj Johanna Just, geb
01.09.2012, halten die Kindeseltern fest, dass sie derzeit aufgrund
der obigen Betreuungsregelung die Minderjährige zu gleichen Teilen
in ihren Haushalten betreuen und über ein annähernd gleich hohes
Einkommen verfügen. Demnach ist jeder Elternteil verpflichtet, die
während seiner Betreuungszeit anfallenden Aufwendungen aus Eigenem
zu tragen.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Darüber hinaus vereinbaren die Kindeseltern, dass längerfristige
Aufwendungen bzw Investitionen (Sportbekleidung,
Nachmittagsbetreuung, Hobbys, Brille etc) von ihnen grundsätzlich
gleichfalls zu gleichen Teilen getragen werden. Eine Ausstattung an
grundlegenden von der Minderjährigen im Alltag benötigten Dingen
(va Alltagsbekleidung) hat jedoch jeder Elternteil bei sich und
führt diese auf eigene Kosten.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Sie vereinbaren daher, dass die über den täglichen Bedarf
hinausgehenden Bedürfnisse der Minderjährigen jeweils im Jänner des
Folgejahres unter Berücksichtigung der weiter von der Kindesmutter
bezogenen Transferleistungen (Familienbeihilfe und
Kinderabsetzbetrag jeweils hälftig abgerechnet werden. Die
Kindeseltern haben zu diesem Zweck dem jeweils anderen
Aufstellungen über die getätigten längerlebigen Anschaffungen (mit
Ausnahme der obstehend erwähnten Grundausstattung, die jeder
Elternteil auf seine eigenen Kosten führt) unter Anschluss der
Belege zur Verfügung zu stellen und der ermittelte
Zahlungsausgleich hat dann jeweils bis längstens 31.03. für das
Vorjahr zu erfolgen.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Etwaiger Sonderbedarf wird von den Kindeseltern darüber hinaus
nach den von der Judikatur entwickelten Grundsätzen gleichfalls
jeweils hälftig getragen.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Bei einer Neubemessung des Unterhalts wird der jeweils
gesetzliche Unterhalt (§ 231 ABGB) geschuldet.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Eltern haben vor Durchführung der einvernehmlichen
Ehescheidung das Elternberatungsgespräch gem § 95 Abs 1a
AußStrG in Anspruch genommen.</w:t>
            </w:r>
          </w:p>
        </w:tc>
      </w:tr>
    </w:tbl>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3. Ehewohnung</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Festgehalten wird, dass es sich bei der Ehewohnung in 1120 Wien,
Bernhardstraße 24/24 um eine Mietwohnung handelt, deren Mieter
beide Ehegatten sind. Die Ehefrau tritt mit Rechtskraft der
einvernehmlichen Ehescheidung entsprechend der Bestimmung des
§ 12 MRG ihre Mitmietrechte an dieser Wohnung an den Ehemann
ab und verpflichtet sich, über Aufforderung des Ehemannes umgehend,
längstens jedoch binnen 7 Tagen, alle allenfalls erforderlichen
weiteren Erklärungen abzugeben, damit der Ehemann alleiniger Mieter
der bisherigen Ehewohnung wird.</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Für den Fall, dass seitens des Vermieters der Ehewohnung die
Zustimmung zur alleinigen Fortsetzung des Mietverhältnisses durch
den Ehemann nicht erteilt werden sollte, behalten sich die
Ehegatten eine Antragstellung analog nach § 98 EheG vor.</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Ehemann verpflichtet sich, sämtliche Kosten für die eheliche
Wohnung ab 01.11.2023 allein zu tragen und die Ehefrau gegen jede
Inanspruchnahme vollständig schad- und klaglos zu halten.
Festgehalten wird, dass kein Mietzinsrückstand besteht.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Ehefrau verpflichtet sich, bis längstens 15.10.2023 aus der
vorgenannten Wohnung unter Mitnahme ihrer persönlichen Fahrhabe
sowie unter Verzicht auf Räumungsaufschub, auszuziehen. Sie
verzichtet gegenüber dem Ehemann auf alle wie immer gearteten
Ansprüche hinsichtlich des obgenannten Objektes und anerkennt das
alleinige Eigentumsrecht des Ehemannes an sämtlichen in der
vorgenannten Ehewohnung befindlichen Einrichtungsgegenständen und
sonstigen Fahrnissen, mit Ausnahme der in der einen integrierenden
Bestandteil dieses Vergleiches bildenden Inventarliste (Annex A)
angeführten Fahrnisse, hinsichtlich welcher der Ehemann das
alleinige Eigentumsrecht der Ehefrau anerkennt. Die Ehefrau
verpflichtet sich, auch die ihr entsprechend dieser Inventarliste
zukommenden Fahrnisse bis längstens 15.10.2023 aus der vormaligen
Ehewohnung zu räumen, widrigenfalls sie in das alleinige
Eigentumsrecht des Ehemannes übergehen.</w:t>
            </w:r>
          </w:p>
        </w:tc>
      </w:tr>
    </w:tbl>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4. Pkw</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Ehemann überträgt sein Eigentumsrecht am Pkw Ford Galaxy,
mit dem polizeilichen Kennzeichen W-70939X, an die Ehefrau und
verpflichtet sich, binnen acht Tagen ab Rechtskraft der
Ehescheidung alle Erklärungen abzugeben, die allenfalls für die
Übertragung dieses Pkws in das Eigentum der Ehefrau erforderlich
sein sollten.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weiters auf den Namen des Ehemannes zugelassene Pkw BMX X5
mit dem polizeilichen Kennzeichen W-JERO1 verbleibt diesem.</w:t>
            </w:r>
          </w:p>
        </w:tc>
      </w:tr>
    </w:tbl>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5. Konto</w:t>
      </w:r>
    </w:p>
    <w:p>
      <w:pPr>
        <w:widowControl w:val="on"/>
        <w:pBdr/>
        <w:spacing w:before="140" w:after="240" w:line="288" w:lineRule="auto"/>
        <w:ind w:left="0" w:right="0"/>
        <w:jc w:val="left"/>
      </w:pPr>
      <w:r>
        <w:rPr>
          <w:rFonts w:ascii="Arial" w:hAnsi="Arial" w:eastAsia="Arial" w:cs="Arial"/>
          <w:color w:val="000000"/>
          <w:sz w:val="20"/>
          <w:szCs w:val="20"/>
        </w:rPr>
        <w:t xml:space="preserve">Das auf beide Ehegatten lautende Konto Nr 364194900 bei der
ERSTE Bank mit einem Saldo von rund EUR 1.520,– wird auf den
Ehemann allein übertragen. Er verpflichtet sich, den offenen Saldo
allein zurück zu zahlen und die Ehefrau gegen jede Inanspruchnahme
vollständig schad- und klaglos zu halten.</w:t>
      </w:r>
    </w:p>
    <w:p>
      <w:pPr>
        <w:widowControl w:val="on"/>
        <w:pBdr/>
        <w:spacing w:before="140" w:after="240" w:line="288" w:lineRule="auto"/>
        <w:ind w:left="0" w:right="0"/>
        <w:jc w:val="left"/>
      </w:pPr>
      <w:r>
        <w:rPr>
          <w:rFonts w:ascii="Arial" w:hAnsi="Arial" w:eastAsia="Arial" w:cs="Arial"/>
          <w:color w:val="000000"/>
          <w:sz w:val="20"/>
          <w:szCs w:val="20"/>
        </w:rPr>
        <w:t xml:space="preserve">Die Ehefrau verzichtet ihrerseits auf alle Ansprüche
hinsichtlich dieses Kontos und verpflichtet sich, binnen 14 Tagen
ab Rechtskraft der Ehescheidung alle erforderlichen Erklärungen
abzugeben, die notwendig sind, damit das genannte Konto künftig dem
Ehemann allein zukommt.</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6. Ersparnisse, sonstige Vermögenswerte</w:t>
      </w:r>
    </w:p>
    <w:p>
      <w:pPr>
        <w:widowControl w:val="on"/>
        <w:pBdr/>
        <w:spacing w:before="140" w:after="240" w:line="288" w:lineRule="auto"/>
        <w:ind w:left="0" w:right="0"/>
        <w:jc w:val="left"/>
      </w:pPr>
      <w:r>
        <w:rPr>
          <w:rFonts w:ascii="Arial" w:hAnsi="Arial" w:eastAsia="Arial" w:cs="Arial"/>
          <w:color w:val="000000"/>
          <w:sz w:val="20"/>
          <w:szCs w:val="20"/>
        </w:rPr>
        <w:t xml:space="preserve">Darüber hinausgehende Ersparnisse oder darüber hinausgehendes
Vermögen verbleiben demjenigen, auf dessen Namen sie lauten oder in
dessen Besitz sie sich befinden.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7. Verbindlichkeiten</w:t>
      </w:r>
    </w:p>
    <w:p>
      <w:pPr>
        <w:widowControl w:val="on"/>
        <w:pBdr/>
        <w:spacing w:before="140" w:after="240" w:line="288" w:lineRule="auto"/>
        <w:ind w:left="0" w:right="0"/>
        <w:jc w:val="left"/>
      </w:pPr>
      <w:r>
        <w:rPr>
          <w:rFonts w:ascii="Arial" w:hAnsi="Arial" w:eastAsia="Arial" w:cs="Arial"/>
          <w:color w:val="000000"/>
          <w:sz w:val="20"/>
          <w:szCs w:val="20"/>
        </w:rPr>
        <w:t xml:space="preserve">Festgehalten wird, dass nach den übereinstimmenden Angaben des
Ehemannes und der Ehefrau keine Kredite oder sonstigen
Verbindlichkeiten bestehen, für die beide Ehegatten gemeinsam
haften.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8. Kosten und Gebühren</w:t>
      </w:r>
    </w:p>
    <w:p>
      <w:pPr>
        <w:widowControl w:val="on"/>
        <w:pBdr/>
        <w:spacing w:before="140" w:after="240" w:line="288" w:lineRule="auto"/>
        <w:ind w:left="0" w:right="0"/>
        <w:jc w:val="left"/>
      </w:pPr>
      <w:r>
        <w:rPr>
          <w:rFonts w:ascii="Arial" w:hAnsi="Arial" w:eastAsia="Arial" w:cs="Arial"/>
          <w:color w:val="000000"/>
          <w:sz w:val="20"/>
          <w:szCs w:val="20"/>
        </w:rPr>
        <w:t xml:space="preserve">Die Gebühren der einvernehmlichen Scheidung trägt im
Innenverhältnis der Ehemann allein, der die Ehefrau gegen jegliche
Inanspruchnahme schad- und klaglos hält. Die Kosten anwaltlicher
Vertretung trägt jeder Teil selbst, wobei sich aber der Ehemann
verpflichtet, an die Ehefrau einen Kostenbeitrag für die Erstellung
des Scheidungsvergleiches von EUR 1.800,– inkl 20 % USt,
(ds EUR 300,–) zu Handen deren Rechtsvertretung binnen 14
Tagen ab Rechtskraft der Ehescheidung zu zahlen.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9. Generalklausel</w:t>
      </w:r>
    </w:p>
    <w:p>
      <w:pPr>
        <w:widowControl w:val="on"/>
        <w:pBdr/>
        <w:spacing w:before="140" w:after="240" w:line="288" w:lineRule="auto"/>
        <w:ind w:left="0" w:right="0"/>
        <w:jc w:val="left"/>
      </w:pPr>
      <w:r>
        <w:rPr>
          <w:rFonts w:ascii="Arial" w:hAnsi="Arial" w:eastAsia="Arial" w:cs="Arial"/>
          <w:color w:val="000000"/>
          <w:sz w:val="20"/>
          <w:szCs w:val="20"/>
        </w:rPr>
        <w:t xml:space="preserve">Mit der Erfüllung dieses Vergleiches sind alle wechselseitigen
Ansprüche der Ehegatten betreffend Unterhalt und Teilung ehelichen
Vermögens endgültig bereinigt und verglichen.</w:t>
      </w:r>
    </w:p>
    <w:p>
      <w:pPr>
        <w:widowControl w:val="on"/>
        <w:pBdr/>
        <w:spacing w:before="140" w:after="240" w:line="288" w:lineRule="auto"/>
        <w:ind w:left="0" w:right="0"/>
        <w:jc w:val="left"/>
      </w:pPr>
      <w:r>
        <w:rPr>
          <w:rFonts w:ascii="Arial" w:hAnsi="Arial" w:eastAsia="Arial" w:cs="Arial"/>
          <w:color w:val="000000"/>
          <w:sz w:val="20"/>
          <w:szCs w:val="20"/>
        </w:rPr>
        <w:t xml:space="preserve">Die Parteien verzichten auf Antragstellung nach §§ 81 ff
EheG, §§ 98 ff ABGB und diesbezügliche Ansprüche.</w:t>
      </w:r>
    </w:p>
    <w:p>
      <w:pPr>
        <w:widowControl w:val="on"/>
        <w:pBdr/>
        <w:spacing w:before="140" w:after="240" w:line="288" w:lineRule="auto"/>
        <w:ind w:left="0" w:right="0"/>
        <w:jc w:val="left"/>
      </w:pPr>
      <w:r>
        <w:rPr>
          <w:rFonts w:ascii="Arial" w:hAnsi="Arial" w:eastAsia="Arial" w:cs="Arial"/>
          <w:color w:val="000000"/>
          <w:sz w:val="20"/>
          <w:szCs w:val="20"/>
        </w:rPr>
        <w:t xml:space="preserve">Wien,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Jerome Just, geb 15.05.1975</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Jacqueline Just, geb 19.09.1976</w:t>
      </w:r>
    </w:p>
    <w:p>
      <w:r>
        <w:pict>
          <v:rect id="_x0000_i1026" style="width:0;height:1.5pt" o:hralign="center" o:hrstd="t" o:hr="t" o:hrnoshade="t" fillcolor="#a0a0a0" stroked="f"/>
        </w:pic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b/>
          <w:bCs/>
          <w:color w:val="000000"/>
          <w:sz w:val="20"/>
          <w:szCs w:val="20"/>
        </w:rPr>
        <w:t xml:space="preserve">1</w:t>
      </w:r>
      <w:r>
        <w:rPr>
          <w:rFonts w:ascii="Arial" w:hAnsi="Arial" w:eastAsia="Arial" w:cs="Arial"/>
          <w:color w:val="000000"/>
          <w:sz w:val="20"/>
          <w:szCs w:val="20"/>
        </w:rPr>
        <w:br/>
        <w:t xml:space="preserve">Die Frage der Wertsicherung von vereinbarten Unterhaltsleistungen
bzw konkret von vereinbarten Fixunterhaltsleistu8ngen, die
ansonsten keiner Änderung unterliegen sollen, ist eine derzeit
nicht einfach zu lösende. Auf Seiten der unterhaltsberechtigten
Person erscheint in der gegenwärtigen Lage eine Wertsicherung des
geschuldeten Unterhaltes zum Erhalt dessen inneren Wertes geradezu
zwingend; umgekehrt können sich durch unvorhersehbare Entwicklungen
der Anpassungsfaktoren für die Unterhalt leistende Person in der
Zukunft aus heutiger Sicht unvorhersehbare Mehrbelastungen
ergeben.</w:t>
      </w:r>
    </w:p>
    <w:p>
      <w:pPr>
        <w:widowControl w:val="on"/>
        <w:pBdr/>
        <w:spacing w:before="140" w:after="240" w:line="288" w:lineRule="auto"/>
        <w:ind w:left="0" w:right="0"/>
        <w:jc w:val="left"/>
      </w:pPr>
      <w:r>
        <w:rPr>
          <w:rFonts w:ascii="Arial" w:hAnsi="Arial" w:eastAsia="Arial" w:cs="Arial"/>
          <w:color w:val="000000"/>
          <w:sz w:val="20"/>
          <w:szCs w:val="20"/>
        </w:rPr>
        <w:t xml:space="preserve">In der Praxis gängig sind Wertsicherungen entlang des
Verbraucherpreisindexes (VIPI) sowie des Pensionsanpassungsfaktors
nach dem ASVG (PAF).</w:t>
      </w:r>
    </w:p>
    <w:p>
      <w:pPr>
        <w:widowControl w:val="on"/>
        <w:pBdr/>
        <w:spacing w:before="140" w:after="240" w:line="288" w:lineRule="auto"/>
        <w:ind w:left="0" w:right="0"/>
        <w:jc w:val="left"/>
      </w:pPr>
      <w:r>
        <w:rPr>
          <w:rFonts w:ascii="Arial" w:hAnsi="Arial" w:eastAsia="Arial" w:cs="Arial"/>
          <w:color w:val="000000"/>
          <w:sz w:val="20"/>
          <w:szCs w:val="20"/>
        </w:rPr>
        <w:t xml:space="preserve">Die jeweiligen Indexwerte des VPI werden auf der Website der
Statistik Austria veröffentlicht, auf welcher sich auch ein
Indexrechner sowie ein Schwellenwertrechner finden (</w:t>
      </w:r>
      <w:hyperlink r:id="rId23786a8b93a900cf8" w:history="1">
        <w:r>
          <w:rPr>
            <w:rFonts w:ascii="Arial" w:hAnsi="Arial" w:eastAsia="Arial" w:cs="Arial"/>
            <w:color w:val="006BB6"/>
            <w:sz w:val="20"/>
            <w:szCs w:val="20"/>
          </w:rPr>
          <w:t xml:space="preserve">https://www.statistik.at/Indexrechner/</w:t>
        </w:r>
      </w:hyperlink>
      <w:r>
        <w:rPr>
          <w:rFonts w:ascii="Arial" w:hAnsi="Arial" w:eastAsia="Arial" w:cs="Arial"/>
          <w:color w:val="000000"/>
          <w:sz w:val="20"/>
          <w:szCs w:val="20"/>
        </w:rPr>
        <w:t xml:space="preserve">).</w:t>
      </w:r>
    </w:p>
    <w:p>
      <w:pPr>
        <w:widowControl w:val="on"/>
        <w:pBdr/>
        <w:spacing w:before="140" w:after="240" w:line="288" w:lineRule="auto"/>
        <w:ind w:left="0" w:right="0"/>
        <w:jc w:val="left"/>
      </w:pPr>
      <w:r>
        <w:rPr>
          <w:rFonts w:ascii="Arial" w:hAnsi="Arial" w:eastAsia="Arial" w:cs="Arial"/>
          <w:color w:val="000000"/>
          <w:sz w:val="20"/>
          <w:szCs w:val="20"/>
        </w:rPr>
        <w:t xml:space="preserve">Der Pensionsanpassungsfaktor wird grundsätzlich jedes Jahr vom
Bundesminister für soziale Sicherheit, Generationen und
Konsumentenschutz für das folgende Kalenderjahr bis spätestens
31.10. eines jeden Jahres durch Verordnung festzusetzen (§ 108
Abs 5 ASVG; § 108f ASVG).</w:t>
      </w:r>
    </w:p>
    <w:p>
      <w:pPr>
        <w:widowControl w:val="on"/>
        <w:pBdr/>
        <w:spacing w:before="140" w:after="240" w:line="288" w:lineRule="auto"/>
        <w:ind w:left="0" w:right="0"/>
        <w:jc w:val="left"/>
      </w:pPr>
      <w:r>
        <w:rPr>
          <w:rFonts w:ascii="Arial" w:hAnsi="Arial" w:eastAsia="Arial" w:cs="Arial"/>
          <w:color w:val="000000"/>
          <w:sz w:val="20"/>
          <w:szCs w:val="20"/>
        </w:rPr>
        <w:t xml:space="preserve">Grundsätzlich führte in der Vergangenheit eine Wertsicherung
entlang des PAF zu niedrigeren Erhöhungen als nach dem VPI. Ob dies
für die Zukunft so bleiben wird ist fraglich. Jedenfalls hinkt die
Anpassung der Pensionen der Entwicklung der Verbraucherpreise
allerdings regelmäßig hinterher.</w:t>
      </w:r>
    </w:p>
    <w:p>
      <w:pPr>
        <w:widowControl w:val="on"/>
        <w:pBdr/>
        <w:spacing w:before="140" w:after="240" w:line="288" w:lineRule="auto"/>
        <w:ind w:left="0" w:right="0"/>
        <w:jc w:val="left"/>
      </w:pPr>
      <w:r>
        <w:rPr>
          <w:rFonts w:ascii="Arial" w:hAnsi="Arial" w:eastAsia="Arial" w:cs="Arial"/>
          <w:color w:val="000000"/>
          <w:sz w:val="20"/>
          <w:szCs w:val="20"/>
        </w:rPr>
        <w:t xml:space="preserve">Zu berücksichtigen ist wohl, dass eine Wertsicherung entlang des
VPI im Falle sinkender Verbraucherpreise theoretisch auch zu einer
Verringerung des geschuldeten Unterhaltes führen könnte. Dies
trifft bei einer Wertsicherung entlang des PAF an sich nicht zu.
Vereinbart werden können aber auch so genannte Schwellenklauseln,
dass also eine Wertscherung erst bei einem bestimmten
prozentmäßigen Überschreiten des Ausgangswertes bzw –index
eintreten soll.</w:t>
      </w:r>
    </w:p>
    <w:p>
      <w:pPr>
        <w:widowControl w:val="on"/>
        <w:pBdr/>
        <w:spacing w:before="140" w:after="240" w:line="288" w:lineRule="auto"/>
        <w:ind w:left="0" w:right="0"/>
        <w:jc w:val="left"/>
      </w:pPr>
      <w:r>
        <w:rPr>
          <w:rFonts w:ascii="Arial" w:hAnsi="Arial" w:eastAsia="Arial" w:cs="Arial"/>
          <w:b/>
          <w:bCs/>
          <w:color w:val="000000"/>
          <w:sz w:val="20"/>
          <w:szCs w:val="20"/>
        </w:rPr>
        <w:t xml:space="preserve">2</w:t>
      </w:r>
      <w:r>
        <w:rPr>
          <w:rFonts w:ascii="Arial" w:hAnsi="Arial" w:eastAsia="Arial" w:cs="Arial"/>
          <w:color w:val="000000"/>
          <w:sz w:val="20"/>
          <w:szCs w:val="20"/>
        </w:rPr>
        <w:br/>
        <w:t xml:space="preserve">Gem § 179 Abs 1 ABGB bleibt bei Auflösung der häuslichen
Gemeinschaft der Eltern eines minderjährigen Kindes (nunmehr) die
Obsorge beider Eltern aufrecht. Die Eltern haben aber nach
§ 179 Abs 2 ABGB vor Gericht eine Vereinbarung darüber zu
schließen, in wessen Haushalt das Kind hauptsächlich betreut wird.
Kommt es binnen angemessener Frist zu keiner derartigen
Vereinbarung, so hat das Gericht nach § 180 Abs 1 Satz 1
Z 1 ABGB von Amts wegen und auch ohne Kindeswohlgefährdung
über eine allfällige Änderung der Obsorge zu entscheiden oder bei
aufrecht bleibender Betreuung beider Elternteile mit der Obsorge
jenen Elternteil zu bestimmen, in dessen Haushalt das Kind
hauptsächlich betreut werden soll. Dies gilt im Hinblick auf
§ 180 Abs 1 Satz 1 Z 2 ABGB auch für jene Fälle, in
denen ein Elternteil gegen den Willen des anderen die Betrauung mit
der Alleinobsorge anstrebt oder beide Elternteile jeweils allein
obsorgeberechtigt sein wollen (6 Ob 41/13t; 3 Ob 103/13p).</w:t>
      </w:r>
    </w:p>
    <w:p>
      <w:pPr>
        <w:widowControl w:val="on"/>
        <w:pBdr/>
        <w:spacing w:before="140" w:after="240" w:line="288" w:lineRule="auto"/>
        <w:ind w:left="0" w:right="0"/>
        <w:jc w:val="left"/>
      </w:pPr>
      <w:r>
        <w:rPr>
          <w:rFonts w:ascii="Arial" w:hAnsi="Arial" w:eastAsia="Arial" w:cs="Arial"/>
          <w:color w:val="000000"/>
          <w:sz w:val="20"/>
          <w:szCs w:val="20"/>
        </w:rPr>
        <w:t xml:space="preserve">Nach der neuen Rechtslage soll die Obsorge beider Elternteile
eher der Regelfall sein (3 Ob 103/13p; 8 Ob 7/15k). Besteht also
eine „normale“ familiäre Situation zwischen den Eltern und auch
zwischen den Eltern und dem Kind, so gelangt dieser Grundsatz zur
Anwendung (vgl 6 Ob 41/13t).</w:t>
      </w:r>
    </w:p>
    <w:p>
      <w:pPr>
        <w:widowControl w:val="on"/>
        <w:pBdr/>
        <w:spacing w:before="140" w:after="240" w:line="288" w:lineRule="auto"/>
        <w:ind w:left="0" w:right="0"/>
        <w:jc w:val="left"/>
      </w:pPr>
      <w:r>
        <w:rPr>
          <w:rFonts w:ascii="Arial" w:hAnsi="Arial" w:eastAsia="Arial" w:cs="Arial"/>
          <w:color w:val="000000"/>
          <w:sz w:val="20"/>
          <w:szCs w:val="20"/>
        </w:rPr>
        <w:t xml:space="preserve">Von einer Doppelresidenz spricht man nun, wenn die Eltern eines
Kindes nicht im gemeinsamen Haushalt leben und das Kind sowohl bei
der Mutter als auch beim Vater wohnt, indem es in etwa gleichen
Zeiträumen (</w:t>
      </w:r>
      <w:r>
        <w:rPr>
          <w:rFonts w:ascii="Arial" w:hAnsi="Arial" w:eastAsia="Arial" w:cs="Arial"/>
          <w:i/>
          <w:iCs/>
          <w:color w:val="000000"/>
          <w:sz w:val="20"/>
          <w:szCs w:val="20"/>
        </w:rPr>
        <w:t xml:space="preserve">Fischer-Czermak</w:t>
      </w:r>
      <w:r>
        <w:rPr>
          <w:rFonts w:ascii="Arial" w:hAnsi="Arial" w:eastAsia="Arial" w:cs="Arial"/>
          <w:color w:val="000000"/>
          <w:sz w:val="20"/>
          <w:szCs w:val="20"/>
        </w:rPr>
        <w:t xml:space="preserve">, Doppelresidenz aus obsorge-
und kontaktrechtlicher Sicht, EF-Z 2019, 250;
</w:t>
      </w:r>
      <w:r>
        <w:rPr>
          <w:rFonts w:ascii="Arial" w:hAnsi="Arial" w:eastAsia="Arial" w:cs="Arial"/>
          <w:i/>
          <w:iCs/>
          <w:color w:val="000000"/>
          <w:sz w:val="20"/>
          <w:szCs w:val="20"/>
        </w:rPr>
        <w:t xml:space="preserve">Barth-Richtarz</w:t>
      </w:r>
      <w:r>
        <w:rPr>
          <w:rFonts w:ascii="Arial" w:hAnsi="Arial" w:eastAsia="Arial" w:cs="Arial"/>
          <w:color w:val="000000"/>
          <w:sz w:val="20"/>
          <w:szCs w:val="20"/>
        </w:rPr>
        <w:t xml:space="preserve">, „Doppelresidenz“ – ein ideales Modell für
Kinder?, iFamZ 2009, 129) bzw annähernd gleichmäßig (LG Salzburg
EFSlg 163.037) von beiden Eltern betreut wird.</w:t>
      </w:r>
    </w:p>
    <w:p>
      <w:pPr>
        <w:widowControl w:val="on"/>
        <w:pBdr/>
        <w:spacing w:before="140" w:after="240" w:line="288" w:lineRule="auto"/>
        <w:ind w:left="0" w:right="0"/>
        <w:jc w:val="left"/>
      </w:pPr>
      <w:r>
        <w:rPr>
          <w:rFonts w:ascii="Arial" w:hAnsi="Arial" w:eastAsia="Arial" w:cs="Arial"/>
          <w:color w:val="000000"/>
          <w:sz w:val="20"/>
          <w:szCs w:val="20"/>
        </w:rPr>
        <w:t xml:space="preserve">Diesbezüglich wurde vonseiten des VfGH klargestellt, dass es
unverhältnismäßig wäre, wenn das Gesetz die Festlegung einer
Doppelresidenz, also die Festlegung einer gleichteiligen Betreuung,
kategorisch ausschließen würde, weil unter bestimmten
Voraussetzungen ein Wandelmodell dem Kindeswohl besser entsprechen
könne als ein Heim erster Ordnung (</w:t>
      </w:r>
      <w:r>
        <w:rPr>
          <w:rFonts w:ascii="Arial" w:hAnsi="Arial" w:eastAsia="Arial" w:cs="Arial"/>
          <w:i/>
          <w:iCs/>
          <w:color w:val="000000"/>
          <w:sz w:val="20"/>
          <w:szCs w:val="20"/>
        </w:rPr>
        <w:t xml:space="preserve">Fischer-Czermak</w:t>
      </w:r>
      <w:r>
        <w:rPr>
          <w:rFonts w:ascii="Arial" w:hAnsi="Arial" w:eastAsia="Arial" w:cs="Arial"/>
          <w:color w:val="000000"/>
          <w:sz w:val="20"/>
          <w:szCs w:val="20"/>
        </w:rPr>
        <w:t xml:space="preserve">, EF-Z
2019, 252). Im Sinne einer verfassungskonformen Interpretation soll
daher die Formulierung „hauptsächliche Betreuung“ in jenen Fällen,
in denen eine Doppelresidenz dem Kindeswohl am besten entspricht,
nicht wörtlich, sondern nur als Anknüpfungspunkt für verschiedene
Rechtsfolgen verstanden werden (VfGH 9.10.2015, G 152/2015).</w:t>
      </w:r>
    </w:p>
    <w:p>
      <w:pPr>
        <w:widowControl w:val="on"/>
        <w:pBdr/>
        <w:spacing w:before="140" w:after="240" w:line="288" w:lineRule="auto"/>
        <w:ind w:left="0" w:right="0"/>
        <w:jc w:val="left"/>
      </w:pPr>
      <w:r>
        <w:rPr>
          <w:rFonts w:ascii="Arial" w:hAnsi="Arial" w:eastAsia="Arial" w:cs="Arial"/>
          <w:color w:val="000000"/>
          <w:sz w:val="20"/>
          <w:szCs w:val="20"/>
        </w:rPr>
        <w:t xml:space="preserve">Die Doppelresidenz soll jedoch ein Ausnahmefall und kein
Regelmodell sein (vgl </w:t>
      </w:r>
      <w:r>
        <w:rPr>
          <w:rFonts w:ascii="Arial" w:hAnsi="Arial" w:eastAsia="Arial" w:cs="Arial"/>
          <w:i/>
          <w:iCs/>
          <w:color w:val="000000"/>
          <w:sz w:val="20"/>
          <w:szCs w:val="20"/>
        </w:rPr>
        <w:t xml:space="preserve">Fischer-Czermak</w:t>
      </w:r>
      <w:r>
        <w:rPr>
          <w:rFonts w:ascii="Arial" w:hAnsi="Arial" w:eastAsia="Arial" w:cs="Arial"/>
          <w:color w:val="000000"/>
          <w:sz w:val="20"/>
          <w:szCs w:val="20"/>
        </w:rPr>
        <w:t xml:space="preserve">, EF-Z 2019, 253).
Eine Doppelresidenz kommt also nur bei Vorliegen besonderer
Umstände in Betracht (LG Linz EFSlg 163.038). Sie soll vor allem
dann denkbar sein, wenn das Kind durch die gleiteilige Betreuung
nicht in seinem Lebensmittelpunkt zerrissen wird, beide Eltern
schon zuvor die mit der Kinderbetreuung verbundenen Aufgaben und
Lasten im Wesentlichen gemeinsam getragen haben und auch nach der
Trennung noch eine ausreichend gute Kommunikationsbasis besteht
(</w:t>
      </w:r>
      <w:r>
        <w:rPr>
          <w:rFonts w:ascii="Arial" w:hAnsi="Arial" w:eastAsia="Arial" w:cs="Arial"/>
          <w:i/>
          <w:iCs/>
          <w:color w:val="000000"/>
          <w:sz w:val="20"/>
          <w:szCs w:val="20"/>
        </w:rPr>
        <w:t xml:space="preserve">Kathrein</w:t>
      </w:r>
      <w:r>
        <w:rPr>
          <w:rFonts w:ascii="Arial" w:hAnsi="Arial" w:eastAsia="Arial" w:cs="Arial"/>
          <w:color w:val="000000"/>
          <w:sz w:val="20"/>
          <w:szCs w:val="20"/>
        </w:rPr>
        <w:t xml:space="preserve">, ÖJZ 2013, 204).</w:t>
      </w:r>
    </w:p>
    <w:p>
      <w:pPr>
        <w:widowControl w:val="on"/>
        <w:pBdr/>
        <w:spacing w:before="140" w:after="240" w:line="288" w:lineRule="auto"/>
        <w:ind w:left="0" w:right="0"/>
        <w:jc w:val="left"/>
      </w:pPr>
      <w:r>
        <w:rPr>
          <w:rFonts w:ascii="Arial" w:hAnsi="Arial" w:eastAsia="Arial" w:cs="Arial"/>
          <w:color w:val="000000"/>
          <w:sz w:val="20"/>
          <w:szCs w:val="20"/>
        </w:rPr>
        <w:t xml:space="preserve">Der OGH hat sich in der Folge der Gesetzesauslegung durch den
VfGH angeschlossen (3 Ob 121/16i; 6 Ob 149/16d).</w:t>
      </w:r>
    </w:p>
    <w:p>
      <w:pPr>
        <w:widowControl w:val="on"/>
        <w:pBdr/>
        <w:spacing w:before="140" w:after="240" w:line="288" w:lineRule="auto"/>
        <w:ind w:left="0" w:right="0"/>
        <w:jc w:val="left"/>
      </w:pPr>
      <w:r>
        <w:rPr>
          <w:rFonts w:ascii="Arial" w:hAnsi="Arial" w:eastAsia="Arial" w:cs="Arial"/>
          <w:color w:val="000000"/>
          <w:sz w:val="20"/>
          <w:szCs w:val="20"/>
        </w:rPr>
        <w:t xml:space="preserve">Was den konkreten zeitlichen Aspekt anlangt, so ist je nach
Bedürfnissen des betroffenen Kindes bei älteren Kindern ein
wochenweiser Wechsel möglich, bei kleineren Kindern sollten – so
eine Doppelresidenz hier überhaupt tunlich ist – kürzere Wechsel
stattfinden, also bspw eine Wechselfrequenz alle drei Tage.</w:t>
      </w:r>
    </w:p>
    <w:p>
      <w:pPr>
        <w:widowControl w:val="on"/>
        <w:pBdr/>
        <w:spacing w:before="140" w:after="240" w:line="288" w:lineRule="auto"/>
        <w:ind w:left="0" w:right="0"/>
        <w:jc w:val="left"/>
      </w:pPr>
      <w:r>
        <w:rPr>
          <w:rFonts w:ascii="Arial" w:hAnsi="Arial" w:eastAsia="Arial" w:cs="Arial"/>
          <w:color w:val="000000"/>
          <w:sz w:val="20"/>
          <w:szCs w:val="20"/>
        </w:rPr>
        <w:t xml:space="preserve">Erforderlich ist dennoch die Festlegung eines Hauptaufenthaltes
des Kindes: Bei gemeinsamer Obsorge und Betreuung des Kindes zu
gleichen Teilen soll die Festsetzung eines Hauptaufenthalts
(lediglich) als nomineller Anknüpfungspunkt für andere Rechtsfolgen
dienen, deren Grundlage ein bestimmter Aufenthaltsort ist, wie eben
für die Bestimmung des Hauptwohnsitzes des Kindes im Sinne des
Melderechts oder die Geltendmachung von Familien‑ (vgl § 2
Abs 2 FamLAG) und Wohnbeihilfe. Dies ist spruchmäßig zum
Ausdruck zu bringen (RIS-Justiz RS0130981).</w:t>
      </w:r>
    </w:p>
    <w:p>
      <w:pPr>
        <w:widowControl w:val="on"/>
        <w:pBdr/>
        <w:spacing w:before="140" w:after="240" w:line="288" w:lineRule="auto"/>
        <w:ind w:left="0" w:right="0"/>
        <w:jc w:val="left"/>
      </w:pPr>
      <w:r>
        <w:rPr>
          <w:rFonts w:ascii="Arial" w:hAnsi="Arial" w:eastAsia="Arial" w:cs="Arial"/>
          <w:color w:val="000000"/>
          <w:sz w:val="20"/>
          <w:szCs w:val="20"/>
        </w:rPr>
        <w:t xml:space="preserve">In den Spruch ist ausdrücklich der Hinweis aufzunehmen, dass mit
der hauptsächlichen Betreuung das Aufenthaltsbestimmungsrecht nicht
verbunden ist (9 Ob 82/16y; 3 Ob 71/17p).</w:t>
      </w:r>
    </w:p>
    <w:p>
      <w:pPr>
        <w:widowControl w:val="on"/>
        <w:pBdr/>
        <w:spacing w:before="140" w:after="240" w:line="288" w:lineRule="auto"/>
        <w:ind w:left="0" w:right="0"/>
        <w:jc w:val="left"/>
      </w:pPr>
      <w:r>
        <w:rPr>
          <w:rFonts w:ascii="Arial" w:hAnsi="Arial" w:eastAsia="Arial" w:cs="Arial"/>
          <w:color w:val="000000"/>
          <w:sz w:val="20"/>
          <w:szCs w:val="20"/>
        </w:rPr>
        <w:t xml:space="preserve">Bei erstmaliger Bestimmung des (nominellen) Hauptaufenthalts des
Kindes bei Praktizieren eines Doppelresidenzmodells stellt der OGH
darauf ab, von welchem Elternteil die an den Hauptwohnsitz
anknüpfenden Aufgaben bisher wahrgenommen wurden und ob dieser dazu
auch geeignet erscheint. Dies sind also Anhaltspunkte für die
Bestimmung des sog „privilegierten“ Elternteils (6 Ob 149/16d; 6 Ob
8/19y).</w:t>
      </w:r>
    </w:p>
    <w:p>
      <w:pPr>
        <w:widowControl w:val="on"/>
        <w:pBdr/>
        <w:spacing w:before="140" w:after="240" w:line="288" w:lineRule="auto"/>
        <w:ind w:left="0" w:right="0"/>
        <w:jc w:val="left"/>
      </w:pPr>
      <w:r>
        <w:rPr>
          <w:rFonts w:ascii="Arial" w:hAnsi="Arial" w:eastAsia="Arial" w:cs="Arial"/>
          <w:color w:val="000000"/>
          <w:sz w:val="20"/>
          <w:szCs w:val="20"/>
        </w:rPr>
        <w:t xml:space="preserve">Besteht allerdings bereits eine Obsorgeregelung, kann die
Obsorge nur unter den Voraussetzungen des § 180 Abs 3
ABGB neu geregelt werden (6 Ob 8/19y); ist sohin die Obsorge
entweder gerichtlich oder aufgrund einer Vereinbarung der
Kindeseltern bereits festgelegt, setzt eine Änderung der bislang
bestanden habenden Regelung eine nachträgliche Änderung der
Verhältnisse voraus, die derart gewichtig ist dass das zu
berücksichtigende Postulat der Erziehungskontinuität in den
Hintergrund tritt (RIS-Justiz RS0128809).</w:t>
      </w:r>
    </w:p>
    <w:p>
      <w:pPr>
        <w:widowControl w:val="on"/>
        <w:pBdr/>
        <w:spacing w:before="140" w:after="240" w:line="288" w:lineRule="auto"/>
        <w:ind w:left="0" w:right="0"/>
        <w:jc w:val="left"/>
      </w:pPr>
      <w:r>
        <w:rPr>
          <w:rFonts w:ascii="Arial" w:hAnsi="Arial" w:eastAsia="Arial" w:cs="Arial"/>
          <w:color w:val="000000"/>
          <w:sz w:val="20"/>
          <w:szCs w:val="20"/>
        </w:rPr>
        <w:t xml:space="preserve">Grundsätzlich wird bei Ausübung einer Doppelresidenz wohl davon
auszugehen sein, dass auch eine gemeinsame Obsorge beider
Elternteile für das betreffende Kind besteht; dies ist jedoch
insoweit nicht zwingend, als faktisch auch bei alleiniger Obsorge
eines Elternteils ein Doppelresidenzmodell im Sinne eines
umfassenden Kontaktrechtes gelebt werden kann. Dies kann sich wohl
auf die Verpflichtung des nicht obsorgeberechtigten Elternteiles
zur Leistung von Kindesunterhalt entsprechend auswirken (vgl
</w:t>
      </w:r>
      <w:r>
        <w:rPr>
          <w:rFonts w:ascii="Arial" w:hAnsi="Arial" w:eastAsia="Arial" w:cs="Arial"/>
          <w:i/>
          <w:iCs/>
          <w:color w:val="000000"/>
          <w:sz w:val="20"/>
          <w:szCs w:val="20"/>
        </w:rPr>
        <w:t xml:space="preserve">Gitschthaler</w:t>
      </w:r>
      <w:r>
        <w:rPr>
          <w:rFonts w:ascii="Arial" w:hAnsi="Arial" w:eastAsia="Arial" w:cs="Arial"/>
          <w:color w:val="000000"/>
          <w:sz w:val="20"/>
          <w:szCs w:val="20"/>
        </w:rPr>
        <w:t xml:space="preserve">, Kinderbetreuung und Kindesunterhalt – ein
Überblick, EF-Z 2018, 11), belässt im Übrigen jedoch die mit der
Obsorge verbundenen Rechte und Pflichten allein beim anderen
Elternteil, dem diesfalls bspw auch weiterhin das
Aufenthaltsbestimmungsrecht nach § 162 ABGB Abs 1 ABGB
zukommt (</w:t>
      </w:r>
      <w:r>
        <w:rPr>
          <w:rFonts w:ascii="Arial" w:hAnsi="Arial" w:eastAsia="Arial" w:cs="Arial"/>
          <w:i/>
          <w:iCs/>
          <w:color w:val="000000"/>
          <w:sz w:val="20"/>
          <w:szCs w:val="20"/>
        </w:rPr>
        <w:t xml:space="preserve">Fischer-Czermak</w:t>
      </w:r>
      <w:r>
        <w:rPr>
          <w:rFonts w:ascii="Arial" w:hAnsi="Arial" w:eastAsia="Arial" w:cs="Arial"/>
          <w:color w:val="000000"/>
          <w:sz w:val="20"/>
          <w:szCs w:val="20"/>
        </w:rPr>
        <w:t xml:space="preserve">, EF-Z 2019, 254). Der diesfalls
bloß kontaktberechtigte Elternteil kann daher das Kind in der Zeit
in der sich dieses in seiner Betreuung befindet bloß auf Basis von
§ 189 Abs 1 Z 2 ABGB in Angelegenheiten des
täglichen Lebens vertreten.</w:t>
      </w:r>
    </w:p>
    <w:p>
      <w:pPr>
        <w:widowControl w:val="on"/>
        <w:pBdr/>
        <w:spacing w:before="140" w:after="240" w:line="288" w:lineRule="auto"/>
        <w:ind w:left="0" w:right="0"/>
        <w:jc w:val="left"/>
      </w:pPr>
      <w:r>
        <w:rPr>
          <w:rFonts w:ascii="Arial" w:hAnsi="Arial" w:eastAsia="Arial" w:cs="Arial"/>
          <w:color w:val="000000"/>
          <w:sz w:val="20"/>
          <w:szCs w:val="20"/>
        </w:rPr>
        <w:t xml:space="preserve">Dementsprechend ist jedoch davon auszugehen, dass eine „echte“
Doppelresidenz voraussetzt, dass jeder Elternteil auch mit der
Obsorge für das betreffende Kind betraut ist.</w:t>
      </w:r>
    </w:p>
    <w:p>
      <w:pPr>
        <w:widowControl w:val="on"/>
        <w:pBdr/>
        <w:spacing w:before="140" w:after="240" w:line="288" w:lineRule="auto"/>
        <w:ind w:left="0" w:right="0"/>
        <w:jc w:val="left"/>
      </w:pPr>
      <w:r>
        <w:rPr>
          <w:rFonts w:ascii="Arial" w:hAnsi="Arial" w:eastAsia="Arial" w:cs="Arial"/>
          <w:color w:val="000000"/>
          <w:sz w:val="20"/>
          <w:szCs w:val="20"/>
        </w:rPr>
        <w:t xml:space="preserve">Die Festlegung eines Domizilelternteils iSv § 180
Abs 2 ABGB soll dann jedenfalls nur als Anknüpfungspunkt für
verwaltungsrechtliche Rechtsfolgen dienen, etwa was den
Hauptwohnsitz nach Art 6 Abs 3 B-VG und § 1
Abs 7 MeldeG oder die Gewährung der Familienbeihilfe anlangt
(§ 2 Abs 2 FLAG).</w:t>
      </w:r>
    </w:p>
    <w:p>
      <w:pPr>
        <w:widowControl w:val="on"/>
        <w:pBdr/>
        <w:spacing w:before="140" w:after="240" w:line="288" w:lineRule="auto"/>
        <w:ind w:left="0" w:right="0"/>
        <w:jc w:val="left"/>
      </w:pPr>
      <w:r>
        <w:rPr>
          <w:rFonts w:ascii="Arial" w:hAnsi="Arial" w:eastAsia="Arial" w:cs="Arial"/>
          <w:color w:val="000000"/>
          <w:sz w:val="20"/>
          <w:szCs w:val="20"/>
        </w:rPr>
        <w:t xml:space="preserve">Aus zivilrechtlicher Sicht, also insbesondere was das
Aufenthaltsbestimmungsrecht anlangt, besteht ein festgelegtes Heim
erster Ordnung. Was daher eine Übersiedlung ins Ausland anlangt,
wird § 162 Abs 3 ABGB einschlägig sein: Ist nicht
festgelegt, in wessen Haushalt das Kind hauptsächlich betreut
werden soll, so darf der Wohnort des Kindes nur mit Zustimmung
beider Elternteile oder Genehmigung des Gerichts in das Ausland
verlegt werden. Nach der Rsp des OGH (3 Ob 71/17p; 6 Ob 149/16d)
und </w:t>
      </w:r>
      <w:r>
        <w:rPr>
          <w:rFonts w:ascii="Arial" w:hAnsi="Arial" w:eastAsia="Arial" w:cs="Arial"/>
          <w:i/>
          <w:iCs/>
          <w:color w:val="000000"/>
          <w:sz w:val="20"/>
          <w:szCs w:val="20"/>
        </w:rPr>
        <w:t xml:space="preserve">Gitschthaler</w:t>
      </w:r>
      <w:r>
        <w:rPr>
          <w:rFonts w:ascii="Arial" w:hAnsi="Arial" w:eastAsia="Arial" w:cs="Arial"/>
          <w:color w:val="000000"/>
          <w:sz w:val="20"/>
          <w:szCs w:val="20"/>
        </w:rPr>
        <w:t xml:space="preserve"> (EF-Z 2016, 195) soll dies grundsätzlich
auch für eine Wohnsitzverlegung im Inland gelten: Demnach soll auch
im Inland, gem § 162 Abs 3 ABGB auf ein Einvernehmen oder
eine Genehmigung durch das Gericht abzustellen sein (aA
</w:t>
      </w:r>
      <w:r>
        <w:rPr>
          <w:rFonts w:ascii="Arial" w:hAnsi="Arial" w:eastAsia="Arial" w:cs="Arial"/>
          <w:i/>
          <w:iCs/>
          <w:color w:val="000000"/>
          <w:sz w:val="20"/>
          <w:szCs w:val="20"/>
        </w:rPr>
        <w:t xml:space="preserve">Fischer-Czermak</w:t>
      </w:r>
      <w:r>
        <w:rPr>
          <w:rFonts w:ascii="Arial" w:hAnsi="Arial" w:eastAsia="Arial" w:cs="Arial"/>
          <w:color w:val="000000"/>
          <w:sz w:val="20"/>
          <w:szCs w:val="20"/>
        </w:rPr>
        <w:t xml:space="preserve">, EF-Z 2019, 255: Dieser zufolge soll jeder
Elternteil dem im Bereich Pflege und Erziehung die Obsorge zukommt,
das Aufenthaltsbestimmungsrecht haben, er muss aber für eine
Wohnsitzverlegung gem § 137 Abs 2 ABGB das Einvernehmen
mit dem anderen, ebenfalls obsorgeberechtigten Elternteil
suchen).</w:t>
      </w:r>
    </w:p>
    <w:p>
      <w:pPr>
        <w:widowControl w:val="on"/>
        <w:pBdr/>
        <w:spacing w:before="140" w:after="240" w:line="288" w:lineRule="auto"/>
        <w:ind w:left="0" w:right="0"/>
        <w:jc w:val="left"/>
      </w:pPr>
      <w:r>
        <w:rPr>
          <w:rFonts w:ascii="Arial" w:hAnsi="Arial" w:eastAsia="Arial" w:cs="Arial"/>
          <w:color w:val="000000"/>
          <w:sz w:val="20"/>
          <w:szCs w:val="20"/>
        </w:rPr>
        <w:t xml:space="preserve">Nach neuerer Rsp ist offenbar auch davon auszugehen, dass auch
eine gerichtliche Anordnung einer Doppelresidenz möglich ist (vgl 4
Ob 146/21f iFamZ 2022/6 </w:t>
      </w:r>
      <w:r>
        <w:rPr>
          <w:rFonts w:ascii="Arial" w:hAnsi="Arial" w:eastAsia="Arial" w:cs="Arial"/>
          <w:i/>
          <w:iCs/>
          <w:color w:val="000000"/>
          <w:sz w:val="20"/>
          <w:szCs w:val="20"/>
        </w:rPr>
        <w:t xml:space="preserve">[Beck]</w:t>
      </w:r>
      <w:r>
        <w:rPr>
          <w:rFonts w:ascii="Arial" w:hAnsi="Arial" w:eastAsia="Arial" w:cs="Arial"/>
          <w:color w:val="000000"/>
          <w:sz w:val="20"/>
          <w:szCs w:val="20"/>
        </w:rPr>
        <w:t xml:space="preserve">).</w:t>
      </w:r>
    </w:p>
    <w:p>
      <w:pPr>
        <w:widowControl w:val="on"/>
        <w:pBdr/>
        <w:spacing w:before="140" w:after="240" w:line="288" w:lineRule="auto"/>
        <w:ind w:left="0" w:right="0"/>
        <w:jc w:val="left"/>
      </w:pPr>
      <w:r>
        <w:rPr>
          <w:rFonts w:ascii="Arial" w:hAnsi="Arial" w:eastAsia="Arial" w:cs="Arial"/>
          <w:b/>
          <w:bCs/>
          <w:color w:val="000000"/>
          <w:sz w:val="20"/>
          <w:szCs w:val="20"/>
        </w:rPr>
        <w:t xml:space="preserve">3</w:t>
      </w:r>
      <w:r>
        <w:rPr>
          <w:rFonts w:ascii="Arial" w:hAnsi="Arial" w:eastAsia="Arial" w:cs="Arial"/>
          <w:color w:val="000000"/>
          <w:sz w:val="20"/>
          <w:szCs w:val="20"/>
        </w:rPr>
        <w:br/>
        <w:t xml:space="preserve">Gem § 187 Abs 1 ABGB haben das Kind und jeder Elternteil
das Recht auf regelmäßige und den Bedürfnissen des Kindes
entsprechende persönliche Kontakte unabhängig davon, ob dem
getrennt lebenden Elternteil die Obsorge zukommt oder nicht
(</w:t>
      </w:r>
      <w:r>
        <w:rPr>
          <w:rFonts w:ascii="Arial" w:hAnsi="Arial" w:eastAsia="Arial" w:cs="Arial"/>
          <w:i/>
          <w:iCs/>
          <w:color w:val="000000"/>
          <w:sz w:val="20"/>
          <w:szCs w:val="20"/>
        </w:rPr>
        <w:t xml:space="preserve">Fischer-Czermak</w:t>
      </w:r>
      <w:r>
        <w:rPr>
          <w:rFonts w:ascii="Arial" w:hAnsi="Arial" w:eastAsia="Arial" w:cs="Arial"/>
          <w:color w:val="000000"/>
          <w:sz w:val="20"/>
          <w:szCs w:val="20"/>
        </w:rPr>
        <w:t xml:space="preserve"> in </w:t>
      </w:r>
      <w:r>
        <w:rPr>
          <w:rFonts w:ascii="Arial" w:hAnsi="Arial" w:eastAsia="Arial" w:cs="Arial"/>
          <w:i/>
          <w:iCs/>
          <w:color w:val="000000"/>
          <w:sz w:val="20"/>
          <w:szCs w:val="20"/>
        </w:rPr>
        <w:t xml:space="preserve">Kletečka/Schauer</w:t>
      </w:r>
      <w:r>
        <w:rPr>
          <w:rFonts w:ascii="Arial" w:hAnsi="Arial" w:eastAsia="Arial" w:cs="Arial"/>
          <w:color w:val="000000"/>
          <w:sz w:val="20"/>
          <w:szCs w:val="20"/>
        </w:rPr>
        <w:t xml:space="preserve">,
ABGB-ON</w:t>
      </w:r>
      <w:r>
        <w:rPr>
          <w:rFonts w:ascii="Arial" w:hAnsi="Arial" w:eastAsia="Arial" w:cs="Arial"/>
          <w:color w:val="000000"/>
          <w:position w:val="3"/>
          <w:sz w:val="18"/>
          <w:szCs w:val="18"/>
          <w:vertAlign w:val="superscript"/>
        </w:rPr>
        <w:t xml:space="preserve">1.04</w:t>
      </w:r>
      <w:r>
        <w:rPr>
          <w:rFonts w:ascii="Arial" w:hAnsi="Arial" w:eastAsia="Arial" w:cs="Arial"/>
          <w:color w:val="000000"/>
          <w:sz w:val="20"/>
          <w:szCs w:val="20"/>
        </w:rPr>
        <w:t xml:space="preserve"> § 187 ABGB Rz 2).</w:t>
      </w:r>
    </w:p>
    <w:p>
      <w:pPr>
        <w:widowControl w:val="on"/>
        <w:pBdr/>
        <w:spacing w:before="140" w:after="240" w:line="288" w:lineRule="auto"/>
        <w:ind w:left="0" w:right="0"/>
        <w:jc w:val="left"/>
      </w:pPr>
      <w:r>
        <w:rPr>
          <w:rFonts w:ascii="Arial" w:hAnsi="Arial" w:eastAsia="Arial" w:cs="Arial"/>
          <w:color w:val="000000"/>
          <w:sz w:val="20"/>
          <w:szCs w:val="20"/>
        </w:rPr>
        <w:t xml:space="preserve">Bei gleichteiliger Betreuung eines Kindes durch beide
Elternteile im Sinne einer Doppelresidenz erübrigt sich daher eine
gesonderte Kontaktrechtsregelung an sich.</w:t>
      </w:r>
    </w:p>
    <w:p>
      <w:pPr>
        <w:widowControl w:val="on"/>
        <w:pBdr/>
        <w:spacing w:before="140" w:after="240" w:line="288" w:lineRule="auto"/>
        <w:ind w:left="0" w:right="0"/>
        <w:jc w:val="left"/>
      </w:pPr>
      <w:r>
        <w:rPr>
          <w:rFonts w:ascii="Arial" w:hAnsi="Arial" w:eastAsia="Arial" w:cs="Arial"/>
          <w:color w:val="000000"/>
          <w:sz w:val="20"/>
          <w:szCs w:val="20"/>
        </w:rPr>
        <w:t xml:space="preserve">Wenn sich die Eltern mit der Betreuung in längeren
Zeitintervallen abwechseln, kann der fehlende Kontakt des Kindes
zum gerade nicht betreuenden Elternteil aber grundsätzlich dem
Kindeswohl widersprechen; diesfalls müsste das Gericht schon im
Rahmen seiner Kontrollmöglichkeit nach § 190 ABs 2 ABGB auf
eine Änderung der Vereinbarung in diesem Punkt hinwirken
(</w:t>
      </w:r>
      <w:r>
        <w:rPr>
          <w:rFonts w:ascii="Arial" w:hAnsi="Arial" w:eastAsia="Arial" w:cs="Arial"/>
          <w:i/>
          <w:iCs/>
          <w:color w:val="000000"/>
          <w:sz w:val="20"/>
          <w:szCs w:val="20"/>
        </w:rPr>
        <w:t xml:space="preserve">Fischer-Czermak</w:t>
      </w:r>
      <w:r>
        <w:rPr>
          <w:rFonts w:ascii="Arial" w:hAnsi="Arial" w:eastAsia="Arial" w:cs="Arial"/>
          <w:color w:val="000000"/>
          <w:sz w:val="20"/>
          <w:szCs w:val="20"/>
        </w:rPr>
        <w:t xml:space="preserve">, EF-Z 2019, 256).</w:t>
      </w:r>
    </w:p>
    <w:p>
      <w:pPr>
        <w:widowControl w:val="on"/>
        <w:pBdr/>
        <w:spacing w:before="140" w:after="240" w:line="288" w:lineRule="auto"/>
        <w:ind w:left="0" w:right="0"/>
        <w:jc w:val="left"/>
      </w:pPr>
      <w:r>
        <w:rPr>
          <w:rFonts w:ascii="Arial" w:hAnsi="Arial" w:eastAsia="Arial" w:cs="Arial"/>
          <w:color w:val="000000"/>
          <w:sz w:val="20"/>
          <w:szCs w:val="20"/>
        </w:rPr>
        <w:t xml:space="preserve">Nichtsdestotrotz ist es wohl angezeigt, zu vereinbaren, wann das
betreffende Kind in der Betreuung welchen Elternteiles sein soll,
um jedenfalls der Klarheit Genüge zu tun.</w:t>
      </w:r>
    </w:p>
    <w:p>
      <w:pPr>
        <w:widowControl w:val="on"/>
        <w:pBdr/>
        <w:spacing w:before="140" w:after="240" w:line="288" w:lineRule="auto"/>
        <w:ind w:left="0" w:right="0"/>
        <w:jc w:val="left"/>
      </w:pPr>
      <w:r>
        <w:rPr>
          <w:rFonts w:ascii="Arial" w:hAnsi="Arial" w:eastAsia="Arial" w:cs="Arial"/>
          <w:b/>
          <w:bCs/>
          <w:color w:val="000000"/>
          <w:sz w:val="20"/>
          <w:szCs w:val="20"/>
        </w:rPr>
        <w:t xml:space="preserve">4</w:t>
      </w:r>
      <w:r>
        <w:rPr>
          <w:rFonts w:ascii="Arial" w:hAnsi="Arial" w:eastAsia="Arial" w:cs="Arial"/>
          <w:color w:val="000000"/>
          <w:sz w:val="20"/>
          <w:szCs w:val="20"/>
        </w:rPr>
        <w:br/>
        <w:t xml:space="preserve">Bei gleichwertigen Betreuungs- und Naturalunterhaltsleistungen
besteht nach der Rsp nun grundsätzlich kein Geldunterhaltsanspruch
mehr, wenn das Einkommen der Eltern etwa gleich hoch ist bzw beide
über ein Einkommen verfügen, das jeweils zu über der Luxusgrenze
liegenden Geldunterhaltsansprüchen des Kindes über dem
Unterhaltsstopp führt (sog „betreuungsrechtliches
Unterhaltsmodell“: 10 Ob 23/18g EF-Z 2019/20; 5 Ob 189/18g,
</w:t>
      </w:r>
      <w:r>
        <w:rPr>
          <w:rFonts w:ascii="Arial" w:hAnsi="Arial" w:eastAsia="Arial" w:cs="Arial"/>
          <w:i/>
          <w:iCs/>
          <w:color w:val="000000"/>
          <w:sz w:val="20"/>
          <w:szCs w:val="20"/>
        </w:rPr>
        <w:t xml:space="preserve">Tews</w:t>
      </w:r>
      <w:r>
        <w:rPr>
          <w:rFonts w:ascii="Arial" w:hAnsi="Arial" w:eastAsia="Arial" w:cs="Arial"/>
          <w:color w:val="000000"/>
          <w:sz w:val="20"/>
          <w:szCs w:val="20"/>
        </w:rPr>
        <w:t xml:space="preserve">, Berechnung des betreuungsrechtlichen
Unterhaltsanspruchs, EF-Z 2016/110).</w:t>
      </w:r>
    </w:p>
    <w:p>
      <w:pPr>
        <w:widowControl w:val="on"/>
        <w:pBdr/>
        <w:spacing w:before="140" w:after="240" w:line="288" w:lineRule="auto"/>
        <w:ind w:left="0" w:right="0"/>
        <w:jc w:val="left"/>
      </w:pPr>
      <w:r>
        <w:rPr>
          <w:rFonts w:ascii="Arial" w:hAnsi="Arial" w:eastAsia="Arial" w:cs="Arial"/>
          <w:color w:val="000000"/>
          <w:sz w:val="20"/>
          <w:szCs w:val="20"/>
        </w:rPr>
        <w:t xml:space="preserve">Ab wann von gleichwertigen Betreuungsleistungen der Eltern die
Rede sein kann, ist angesichts der Vielfalt familiärer Lebens- und
Betreuungsmodelle nicht mit einem starren Prozentsatz festzulegen
(8 Ob 69/15b). Maßgeblich für die Beurteilung des Ausmaßes der
Betreuung ist regelmäßig die tatsächliche Betreuung im einzelnen
Kalenderjahr. Für zukünftige Unterhaltsleistungen ist auf die
konkrete Ausübung des Kontaktrechts in einem angemessenen Zeitraum
vor der Beschlussfassung erster Instanz abzustellen (1 Ob 13/19x
Zak 2019/304). Ob das Ausmaß der Betreuung (bei Vorliegen der
weiteren genannten Voraussetzungen) einen Entfall der
Geldunterhaltspflicht rechtfertigt, ist jeweils im konkreten
Einzelfall zu beurteilen (vgl RIS-Justiz RS0047452). Der Oberste
Gerichtshof verneinte in diesem Zusammenhang das Vorliegen einer
nahezu gleichwertigen Betreuung etwa bei einem Betreuungsverhältnis
von 42 % zu 58 % (vgl 5 Ob 2/12y; 1 Ob 13/19x) oder noch
geringerer Betreuungsleistungen jenes Elternteils, bei dem sich das
Kind nicht hauptsächlich aufhält, etwa 39 % (9 Ob 57/17y) oder
38 % (5 Ob 189/18g, 3 Ob 101/19b). Demgegenüber erachtete er
eine Betreuung durch diesen Elternteil zu rund 43 % (4 Ob
16/13a; 4 Ob 45/19z) oder mehr (6 Ob 55/16f) als annähernd
gleichwertig (1 Ob 89/22b Zak 2022/424). Die Beurteilung als
„gleichwertige Betreuungsleistungen“ erlaubt jedenfalls nur ganz
geringfügige Unterschiede. Dementsprechend spricht der OGH hier
auch von „völlig gleichwertig“ (7 Ob 172/16v; 1 Ob 151/16m). Nur
ganz geringfügige Unterschiede können mit dem Begriff „nahezu
gleichwertig“ ausgedrückt werden (8 Ob 89/17x iFamZ 2017/204).</w:t>
      </w:r>
    </w:p>
    <w:p>
      <w:pPr>
        <w:widowControl w:val="on"/>
        <w:pBdr/>
        <w:spacing w:before="140" w:after="240" w:line="288" w:lineRule="auto"/>
        <w:ind w:left="0" w:right="0"/>
        <w:jc w:val="left"/>
      </w:pPr>
      <w:r>
        <w:rPr>
          <w:rFonts w:ascii="Arial" w:hAnsi="Arial" w:eastAsia="Arial" w:cs="Arial"/>
          <w:color w:val="000000"/>
          <w:sz w:val="20"/>
          <w:szCs w:val="20"/>
        </w:rPr>
        <w:t xml:space="preserve">Ein gleich hohes Einkommen soll iSd zitierten Rsp darüber hinaus
dann gegeben sein, wenn das Einkommen eines Elternteiles das des
anderen nicht beträchtlich übersteigt, wobei Unterschiede bis zu
einem Drittel (vom niedrigeren zum höheren Betrag gerechnet; vgl 9
Ob 77/21w) hinzunehmen sind (vgl 4 Ob 16/13a EF-Z 2013/115; 1 Ob
158/15i EF-Z 2016/16).</w:t>
      </w:r>
    </w:p>
    <w:p>
      <w:pPr>
        <w:widowControl w:val="on"/>
        <w:pBdr/>
        <w:spacing w:before="140" w:after="240" w:line="288" w:lineRule="auto"/>
        <w:ind w:left="0" w:right="0"/>
        <w:jc w:val="left"/>
      </w:pPr>
      <w:r>
        <w:rPr>
          <w:rFonts w:ascii="Arial" w:hAnsi="Arial" w:eastAsia="Arial" w:cs="Arial"/>
          <w:color w:val="000000"/>
          <w:sz w:val="20"/>
          <w:szCs w:val="20"/>
        </w:rPr>
        <w:t xml:space="preserve">Im Fall der gleichteiligen Betreuung eines Kindes durch beide
Elternteile sind aber nicht nur die mit der Betreuung
zusammenhängenden Kosten sondern zusätzlich auch die sonstigen
notwendigen Aufwendungen für das Kind, die so genannten
„längerlebigen Anschaffungen“ wie etwa Bekleidung, Schuhe,
Schulkosten usw. gemeinsam zu tragen, ansonsten ein
Ausgleichsanspruch gegen den minderleistenden Elternteil entstünde.
Voraussetzung für die Anwendung des so genannten
„betreuungsrechtlichen Unterhaltsmodells“ ist daher neben der
bereits erwähnten gleichwertigen Betreuungs‑ und
Einkommenssituation, dass auch die sonstigen (bedarfsdeckenden)
Naturalleistungen von beiden Elternteilen etwa gleichwertig
erbracht werden (1 Ob 151/16m). Trägt ein Elternteil überwiegend
neben der Betreuung im Haushalt zusätzlich auch noch die
notwendigen Aufwendungen für Bekleidung, Schuhwerk und alle
größeren, längerlebigen Anschaffungen, führt dies zu einem
Ausgleichsanspruch gegen den minderleistenden Elternteil
(RIS-Justiz RS0130655). Nicht wirklich geklärt scheint in der Rsp
derzeit, in welchem Verhältnis die erwähnten längerlebigen
Anschaffungen von den Kindeseltern zu finanzieren sind. In der
Entscheidung 4 Ob 16/13a folgte der OGH der Auffassung von
</w:t>
      </w:r>
      <w:r>
        <w:rPr>
          <w:rFonts w:ascii="Arial" w:hAnsi="Arial" w:eastAsia="Arial" w:cs="Arial"/>
          <w:i/>
          <w:iCs/>
          <w:color w:val="000000"/>
          <w:sz w:val="20"/>
          <w:szCs w:val="20"/>
        </w:rPr>
        <w:t xml:space="preserve">Gitschthaler</w:t>
      </w:r>
      <w:r>
        <w:rPr>
          <w:rFonts w:ascii="Arial" w:hAnsi="Arial" w:eastAsia="Arial" w:cs="Arial"/>
          <w:color w:val="000000"/>
          <w:sz w:val="20"/>
          <w:szCs w:val="20"/>
        </w:rPr>
        <w:t xml:space="preserve"> (ÖRPfl 2012 H 2, 22, 27) unter Hinweis auf
die Entscheidung 6 Ob 182/02m, wonach im Fall der gleichteiligen
Betreuung beide Eltern nicht nur die mit der Betreuung
zusammenhängenden alltäglichen Kosten, sondern auch die zusätzlich
notwendigen Aufwendungen (Schuhe, Kleidung, Sportsachen,
Schulkosten etc) zu gleichen Teilen zu tragen haben; andernfalls
entstehe ein Ausgleichsanspruch gegen den minderleistenden
Elternteil (4 Ob 16/13a EF Z 2013/115 </w:t>
      </w:r>
      <w:r>
        <w:rPr>
          <w:rFonts w:ascii="Arial" w:hAnsi="Arial" w:eastAsia="Arial" w:cs="Arial"/>
          <w:i/>
          <w:iCs/>
          <w:color w:val="000000"/>
          <w:sz w:val="20"/>
          <w:szCs w:val="20"/>
        </w:rPr>
        <w:t xml:space="preserve">[Gitschthaler]</w:t>
      </w:r>
      <w:r>
        <w:rPr>
          <w:rFonts w:ascii="Arial" w:hAnsi="Arial" w:eastAsia="Arial" w:cs="Arial"/>
          <w:color w:val="000000"/>
          <w:sz w:val="20"/>
          <w:szCs w:val="20"/>
        </w:rPr>
        <w:t xml:space="preserve">
= Zak 2013/395). In der Entscheidung 6 Ob 18/22y wurden
demgegenüber die vorinstanzlichen Entscheidungen bestätigt, wonach
ausgehend vom Verhältnis der Leistungsfähigkeiten der beiden
Elternteile (2:1 zu Lasten des Vaters) dieser von den längerlebigen
Anschaffungen zwei Drittel zu bezahlen habe. Von manchen wird in
der Lit nun unter Verweis auf diese Entscheidung also vertreten,
dass die längerlebigen Anschaffungen im Rahmen des
betreuungsrechtlichen Unterhaltsmodelles im Verhältnis der
jeweiligen Leistungsfähigkeit der Eltern zu finanzieren wären. Ob
sich dies aber auf die erwähnte Entscheidung 6 Ob 18/22y stützen
lässt, ist mE aber fraglich, wurde in dieser doch explizit
festgehalten, dass sich der Kindesvater unter Verweis auf die og
Entscheidung 4 Ob 16/13a eigentlich auch höhere
Unterhaltsleistungen anrechnen lassen hätte können, dies aber
mangels Anfechtung der zweitinstanzlichen Entscheidung durch ihn
nicht mehr aufgegriffen werden hätte können (vgl 6 Ob 18/22y).</w:t>
      </w:r>
    </w:p>
    <w:p>
      <w:pPr>
        <w:widowControl w:val="on"/>
        <w:pBdr/>
        <w:spacing w:before="140" w:after="240" w:line="288" w:lineRule="auto"/>
        <w:ind w:left="0" w:right="0"/>
        <w:jc w:val="left"/>
      </w:pPr>
      <w:r>
        <w:rPr>
          <w:rFonts w:ascii="Arial" w:hAnsi="Arial" w:eastAsia="Arial" w:cs="Arial"/>
          <w:color w:val="000000"/>
          <w:sz w:val="20"/>
          <w:szCs w:val="20"/>
        </w:rPr>
        <w:t xml:space="preserve">Im Rahmen des „betreuungsrechtlichen Unterhaltsmodells“ wird der
nach der Rsp der Familienbonus (FaBo+) nicht berücksichtigt; die
Transferleistungen (Familienbeihilfe, Kinderabsetzbetrag) sind
grundsätzlich auf beide Haushalte zu gleichen Teilen aufzuteilen (4
Ob 8/19h iFamZ 2019/47; </w:t>
      </w:r>
      <w:r>
        <w:rPr>
          <w:rFonts w:ascii="Arial" w:hAnsi="Arial" w:eastAsia="Arial" w:cs="Arial"/>
          <w:i/>
          <w:iCs/>
          <w:color w:val="000000"/>
          <w:sz w:val="20"/>
          <w:szCs w:val="20"/>
        </w:rPr>
        <w:t xml:space="preserve">Tews</w:t>
      </w:r>
      <w:r>
        <w:rPr>
          <w:rFonts w:ascii="Arial" w:hAnsi="Arial" w:eastAsia="Arial" w:cs="Arial"/>
          <w:color w:val="000000"/>
          <w:sz w:val="20"/>
          <w:szCs w:val="20"/>
        </w:rPr>
        <w:t xml:space="preserve">, EF-Z 2019, 8). Im Ergebnis
findet damit ein Ausgleich zwischen den fiktiven wechselseitigen
Geldunterhaltspflichten nach der Prozentmethode unter Rücksicht auf
eine allfällige Deckelung des Unterhaltes durch die Luxusgrenze
unter Rücksicht auf die von den Elternteilen bezogenen staatlichen
Transferleistungen (Familienbeihilfe, Kinderabsetzbetrag) statt
(vgl im Einzelnen dazu </w:t>
      </w:r>
      <w:r>
        <w:rPr>
          <w:rFonts w:ascii="Arial" w:hAnsi="Arial" w:eastAsia="Arial" w:cs="Arial"/>
          <w:i/>
          <w:iCs/>
          <w:color w:val="000000"/>
          <w:sz w:val="20"/>
          <w:szCs w:val="20"/>
        </w:rPr>
        <w:t xml:space="preserve">Schwimann/Kolmasch</w:t>
      </w:r>
      <w:r>
        <w:rPr>
          <w:rFonts w:ascii="Arial" w:hAnsi="Arial" w:eastAsia="Arial" w:cs="Arial"/>
          <w:color w:val="000000"/>
          <w:sz w:val="20"/>
          <w:szCs w:val="20"/>
        </w:rPr>
        <w:t xml:space="preserve">, aaO, 130 f;
</w:t>
      </w:r>
      <w:r>
        <w:rPr>
          <w:rFonts w:ascii="Arial" w:hAnsi="Arial" w:eastAsia="Arial" w:cs="Arial"/>
          <w:i/>
          <w:iCs/>
          <w:color w:val="000000"/>
          <w:sz w:val="20"/>
          <w:szCs w:val="20"/>
        </w:rPr>
        <w:t xml:space="preserve">Tews</w:t>
      </w:r>
      <w:r>
        <w:rPr>
          <w:rFonts w:ascii="Arial" w:hAnsi="Arial" w:eastAsia="Arial" w:cs="Arial"/>
          <w:color w:val="000000"/>
          <w:sz w:val="20"/>
          <w:szCs w:val="20"/>
        </w:rPr>
        <w:t xml:space="preserve">, Berechnung des betreuungsrechtlichen
Unterhaltsanspruchs, EF-Z 2016, 244).</w:t>
      </w:r>
    </w:p>
    <w:p>
      <w:pPr>
        <w:widowControl w:val="on"/>
        <w:pBdr/>
        <w:spacing w:before="140" w:after="240" w:line="288" w:lineRule="auto"/>
        <w:ind w:left="0" w:right="0"/>
        <w:jc w:val="left"/>
      </w:pPr>
      <w:r>
        <w:rPr>
          <w:rFonts w:ascii="Arial" w:hAnsi="Arial" w:eastAsia="Arial" w:cs="Arial"/>
          <w:color w:val="000000"/>
          <w:sz w:val="20"/>
          <w:szCs w:val="20"/>
        </w:rPr>
        <w:t xml:space="preserve">Da eine gesetzliche Grundlage für die Anwendung eines bestimmten
Berechnungssystems nicht besteht, kann der OGH aber auch hier nicht
Regeln der Unterhaltsbemessung derart in ein System verdichten,
dass sich eine Tabelle für jeden möglichen Anspruchsfall ergäbe
(RIS-Justiz RS0047419).</w:t>
      </w:r>
    </w:p>
    <w:p>
      <w:pPr>
        <w:widowControl w:val="on"/>
        <w:pBdr/>
        <w:spacing w:before="140" w:after="240" w:line="288" w:lineRule="auto"/>
        <w:ind w:left="0" w:right="0"/>
        <w:jc w:val="left"/>
      </w:pPr>
      <w:r>
        <w:rPr>
          <w:rFonts w:ascii="Arial" w:hAnsi="Arial" w:eastAsia="Arial" w:cs="Arial"/>
          <w:color w:val="000000"/>
          <w:sz w:val="20"/>
          <w:szCs w:val="20"/>
        </w:rPr>
        <w:t xml:space="preserve">In der Praxis wird das „betreuungsrechtliche Unterhaltsmodell“
vor allem von Vätern oft als das bessere und demnach anzustrebende
angesehen. Dies kann mE aber nicht derart pauschal gesagt werden,
da wie gesagt ja nicht nur der (sicherlich im Vergleich zu einer
Unterhaltsbemessung nach der Prozentkomponente niedrigere)
Ergänzungsunterhalt zu bezahlen ist, sondern darüber hinaus auch
sämtliche längerlebigen Anschaffungen gemeinsam zu bestreiten sind,
was also zusätzlich zu berücksichtigen ist. Was also allein
finanzielle Aspekte betrifft, gilt es daher im Einzelfall genau
abzuwägen, ob das betreuungsrechtliche Unterhaltsmodell oder
vielleicht doch noch eine Unterhaltsbemessung nach Prozenten mit
Abschlägen für eine überdurchschnittliche Betreuung im Ergebnis
günstiger ist.</w:t>
      </w:r>
    </w:p>
    <w:p>
      <w:pPr>
        <w:widowControl w:val="on"/>
        <w:pBdr/>
        <w:spacing w:before="140" w:after="240" w:line="288" w:lineRule="auto"/>
        <w:ind w:left="0" w:right="0"/>
        <w:jc w:val="left"/>
      </w:pPr>
      <w:r>
        <w:rPr>
          <w:rFonts w:ascii="Arial" w:hAnsi="Arial" w:eastAsia="Arial" w:cs="Arial"/>
          <w:b/>
          <w:bCs/>
          <w:color w:val="000000"/>
          <w:sz w:val="20"/>
          <w:szCs w:val="20"/>
        </w:rPr>
        <w:t xml:space="preserve">5</w:t>
      </w:r>
      <w:r>
        <w:rPr>
          <w:rFonts w:ascii="Arial" w:hAnsi="Arial" w:eastAsia="Arial" w:cs="Arial"/>
          <w:color w:val="000000"/>
          <w:sz w:val="20"/>
          <w:szCs w:val="20"/>
        </w:rPr>
        <w:br/>
        <w:t xml:space="preserve">Auf der Homepage des Bundesministeriums für Arbeit, Familie und
Jugend findet sich ein Link zu der Liste der anerkannten
Berater/innen gem § 95 Abs 1a AußStrG und den hierfür
vorgesehenen Qualitätsstandards: </w:t>
      </w:r>
      <w:hyperlink r:id="rId55206a8b93a901010" w:history="1">
        <w:r>
          <w:rPr>
            <w:rFonts w:ascii="Arial" w:hAnsi="Arial" w:eastAsia="Arial" w:cs="Arial"/>
            <w:color w:val="006BB6"/>
            <w:sz w:val="20"/>
            <w:szCs w:val="20"/>
          </w:rPr>
          <w:t xml:space="preserve">https://www.trennungundscheidung.at/elternberatung-vor-scheidung/berater/</w:t>
        </w:r>
      </w:hyperlink>
    </w:p>
    <w:p>
      <w:pPr>
        <w:widowControl w:val="on"/>
        <w:pBdr/>
        <w:spacing w:before="140" w:after="240" w:line="288" w:lineRule="auto"/>
        <w:ind w:left="0" w:right="0"/>
        <w:jc w:val="left"/>
      </w:pPr>
      <w:r>
        <w:rPr>
          <w:rFonts w:ascii="Arial" w:hAnsi="Arial" w:eastAsia="Arial" w:cs="Arial"/>
          <w:b/>
          <w:bCs/>
          <w:color w:val="000000"/>
          <w:sz w:val="20"/>
          <w:szCs w:val="20"/>
        </w:rPr>
        <w:t xml:space="preserve">6</w:t>
      </w:r>
      <w:r>
        <w:rPr>
          <w:rFonts w:ascii="Arial" w:hAnsi="Arial" w:eastAsia="Arial" w:cs="Arial"/>
          <w:color w:val="000000"/>
          <w:sz w:val="20"/>
          <w:szCs w:val="20"/>
        </w:rPr>
        <w:br/>
        <w:t xml:space="preserve">Im vorliegenden Fall sind beide Ehegatten Mitmieter an der
Ehewohnung und es soll das Mietverhältnis nunmehr vom Ehemann
allein fortgesetzt werden.</w:t>
      </w:r>
    </w:p>
    <w:p>
      <w:pPr>
        <w:widowControl w:val="on"/>
        <w:pBdr/>
        <w:spacing w:before="140" w:after="240" w:line="288" w:lineRule="auto"/>
        <w:ind w:left="0" w:right="0"/>
        <w:jc w:val="left"/>
      </w:pPr>
      <w:r>
        <w:rPr>
          <w:rFonts w:ascii="Arial" w:hAnsi="Arial" w:eastAsia="Arial" w:cs="Arial"/>
          <w:color w:val="000000"/>
          <w:sz w:val="20"/>
          <w:szCs w:val="20"/>
        </w:rPr>
        <w:t xml:space="preserve">Gem § 87 Abs 1 EheG kann das Gericht für die
Ehewohnung, wenn sie kraft Eigentums oder eines anderen dinglichen
Rechtes eines oder beider Ehegatten benützt wird, die Übertragung
des Eigentums oder des dinglichen Rechtes von einem auf den anderen
Ehegatten oder die Begründung eines schuldrechtlichen
Rechtsverhältnisses zugunsten eines Ehegatten anordnen. Die
Übertragung des Eigentums oder eines dinglichen Rechts an einer
Ehewohnung nach § 82 Abs 2 können die Ehegatten durch
Vereinbarung ausschließen. Sonst kann das Gericht ohne Rücksicht
auf eine Regelung durch Vertrag oder Satzung anordnen, dass ein
Ehegatte anstelle des anderen in das der Benützung der Ehewohnung
zugrunde liegende Rechtsverhältnis eintritt oder das bisher
gemeinsame Rechtsverhältnis allein fortsetzt (Abs 2).</w:t>
      </w:r>
    </w:p>
    <w:p>
      <w:pPr>
        <w:widowControl w:val="on"/>
        <w:pBdr/>
        <w:spacing w:before="140" w:after="240" w:line="288" w:lineRule="auto"/>
        <w:ind w:left="0" w:right="0"/>
        <w:jc w:val="left"/>
      </w:pPr>
      <w:r>
        <w:rPr>
          <w:rFonts w:ascii="Arial" w:hAnsi="Arial" w:eastAsia="Arial" w:cs="Arial"/>
          <w:color w:val="000000"/>
          <w:sz w:val="20"/>
          <w:szCs w:val="20"/>
        </w:rPr>
        <w:t xml:space="preserve">Gerichtliche Entscheidungen über die Ehewohnung nach §§ 87
ff EheG werden durch § 12 Abs 1 und 2 MRG nicht berührt,
wohl aber Vereinbarungen (gerichtliche Vergleiche) zwischen
Ehegatten aus Anlass der Scheidung (</w:t>
      </w:r>
      <w:r>
        <w:rPr>
          <w:rFonts w:ascii="Arial" w:hAnsi="Arial" w:eastAsia="Arial" w:cs="Arial"/>
          <w:i/>
          <w:iCs/>
          <w:color w:val="000000"/>
          <w:sz w:val="20"/>
          <w:szCs w:val="20"/>
        </w:rPr>
        <w:t xml:space="preserve">Würth/Zingher/Kovanyi</w:t>
      </w:r>
      <w:r>
        <w:rPr>
          <w:rFonts w:ascii="Arial" w:hAnsi="Arial" w:eastAsia="Arial" w:cs="Arial"/>
          <w:color w:val="000000"/>
          <w:sz w:val="20"/>
          <w:szCs w:val="20"/>
        </w:rPr>
        <w:t xml:space="preserve">,
Miet- und Wohnrecht</w:t>
      </w:r>
      <w:r>
        <w:rPr>
          <w:rFonts w:ascii="Arial" w:hAnsi="Arial" w:eastAsia="Arial" w:cs="Arial"/>
          <w:color w:val="000000"/>
          <w:position w:val="3"/>
          <w:sz w:val="18"/>
          <w:szCs w:val="18"/>
          <w:vertAlign w:val="superscript"/>
        </w:rPr>
        <w:t xml:space="preserve">23</w:t>
      </w:r>
      <w:r>
        <w:rPr>
          <w:rFonts w:ascii="Arial" w:hAnsi="Arial" w:eastAsia="Arial" w:cs="Arial"/>
          <w:color w:val="000000"/>
          <w:sz w:val="20"/>
          <w:szCs w:val="20"/>
        </w:rPr>
        <w:t xml:space="preserve">, § 12 MRG Rz 6 unter
Hinweis auf 3 Ob 52/79, MietSlg 32.412/17).</w:t>
      </w:r>
    </w:p>
    <w:p>
      <w:pPr>
        <w:widowControl w:val="on"/>
        <w:pBdr/>
        <w:spacing w:before="140" w:after="240" w:line="288" w:lineRule="auto"/>
        <w:ind w:left="0" w:right="0"/>
        <w:jc w:val="left"/>
      </w:pPr>
      <w:r>
        <w:rPr>
          <w:rFonts w:ascii="Arial" w:hAnsi="Arial" w:eastAsia="Arial" w:cs="Arial"/>
          <w:color w:val="000000"/>
          <w:sz w:val="20"/>
          <w:szCs w:val="20"/>
        </w:rPr>
        <w:t xml:space="preserve">Eine im Scheidungsvergleich getroffene Vereinbarung über die
Übertragung der Mietrechte an einen Ehegatten ohne Zustimmung des
Vermieters ist sohin nicht durchsetzbar und bedarf in einem solchen
Fall des Aufteilungsverfahrens, in dem mit rechtsgestaltender
Wirkung entschieden werden kann. In diesem Verfahren hat der
Vermieter Parteistellung (</w:t>
      </w:r>
      <w:r>
        <w:rPr>
          <w:rFonts w:ascii="Arial" w:hAnsi="Arial" w:eastAsia="Arial" w:cs="Arial"/>
          <w:i/>
          <w:iCs/>
          <w:color w:val="000000"/>
          <w:sz w:val="20"/>
          <w:szCs w:val="20"/>
        </w:rPr>
        <w:t xml:space="preserve">Gitschthaler</w:t>
      </w:r>
      <w:r>
        <w:rPr>
          <w:rFonts w:ascii="Arial" w:hAnsi="Arial" w:eastAsia="Arial" w:cs="Arial"/>
          <w:color w:val="000000"/>
          <w:sz w:val="20"/>
          <w:szCs w:val="20"/>
        </w:rPr>
        <w:t xml:space="preserve">, Nacheheliche
Aufteilung</w:t>
      </w:r>
      <w:r>
        <w:rPr>
          <w:rFonts w:ascii="Arial" w:hAnsi="Arial" w:eastAsia="Arial" w:cs="Arial"/>
          <w:color w:val="000000"/>
          <w:position w:val="3"/>
          <w:sz w:val="18"/>
          <w:szCs w:val="18"/>
          <w:vertAlign w:val="superscript"/>
        </w:rPr>
        <w:t xml:space="preserve">2</w:t>
      </w:r>
      <w:r>
        <w:rPr>
          <w:rFonts w:ascii="Arial" w:hAnsi="Arial" w:eastAsia="Arial" w:cs="Arial"/>
          <w:color w:val="000000"/>
          <w:sz w:val="20"/>
          <w:szCs w:val="20"/>
        </w:rPr>
        <w:t xml:space="preserve">, Rz 113 E 1 mwN). Der Vermieter ist in
einem solchen Verfahren auch zum Rekurs legitimiert allerdings kann
er sich nur gegen unzulässige – weil über den Rahmen des § 87
Abs 2 EheG hinausgehende – Anordnungen des Gerichtes zur Wehr
setzen; ob der frühere Ehegatte seines Mieters als nunmehriger
Vertragspartner genehm ist, hat das Gericht nicht zu prüfen (vgl
</w:t>
      </w:r>
      <w:r>
        <w:rPr>
          <w:rFonts w:ascii="Arial" w:hAnsi="Arial" w:eastAsia="Arial" w:cs="Arial"/>
          <w:i/>
          <w:iCs/>
          <w:color w:val="000000"/>
          <w:sz w:val="20"/>
          <w:szCs w:val="20"/>
        </w:rPr>
        <w:t xml:space="preserve">Hopf/Kathrein</w:t>
      </w:r>
      <w:r>
        <w:rPr>
          <w:rFonts w:ascii="Arial" w:hAnsi="Arial" w:eastAsia="Arial" w:cs="Arial"/>
          <w:color w:val="000000"/>
          <w:sz w:val="20"/>
          <w:szCs w:val="20"/>
        </w:rPr>
        <w:t xml:space="preserve">, Eherecht</w:t>
      </w:r>
      <w:r>
        <w:rPr>
          <w:rFonts w:ascii="Arial" w:hAnsi="Arial" w:eastAsia="Arial" w:cs="Arial"/>
          <w:color w:val="000000"/>
          <w:position w:val="3"/>
          <w:sz w:val="18"/>
          <w:szCs w:val="18"/>
          <w:vertAlign w:val="superscript"/>
        </w:rPr>
        <w:t xml:space="preserve">3</w:t>
      </w:r>
      <w:r>
        <w:rPr>
          <w:rFonts w:ascii="Arial" w:hAnsi="Arial" w:eastAsia="Arial" w:cs="Arial"/>
          <w:color w:val="000000"/>
          <w:sz w:val="20"/>
          <w:szCs w:val="20"/>
        </w:rPr>
        <w:t xml:space="preserve">, § 87 EheG
Rz 6 mwN).</w:t>
      </w:r>
    </w:p>
    <w:p>
      <w:pPr>
        <w:widowControl w:val="on"/>
        <w:pBdr/>
        <w:spacing w:before="140" w:after="240" w:line="288" w:lineRule="auto"/>
        <w:ind w:left="0" w:right="0"/>
        <w:jc w:val="left"/>
      </w:pPr>
      <w:r>
        <w:rPr>
          <w:rFonts w:ascii="Arial" w:hAnsi="Arial" w:eastAsia="Arial" w:cs="Arial"/>
          <w:color w:val="000000"/>
          <w:sz w:val="20"/>
          <w:szCs w:val="20"/>
        </w:rPr>
        <w:t xml:space="preserve">Das Zustimmungserfordernis des Vermieters gilt auch für den Fall
einer einvernehmlichen Scheidung; in diesem Fall hat das
Aufteilungsgericht über Antrag (§ 98 EheG analog) jedenfalls
jenes Ehegatten, auf den die Mietrechte übertragen werden sollen,
gegenüber dem Vermieter diese Übertragung beschlussmäßig anzuordnen
(</w:t>
      </w:r>
      <w:r>
        <w:rPr>
          <w:rFonts w:ascii="Arial" w:hAnsi="Arial" w:eastAsia="Arial" w:cs="Arial"/>
          <w:i/>
          <w:iCs/>
          <w:color w:val="000000"/>
          <w:sz w:val="20"/>
          <w:szCs w:val="20"/>
        </w:rPr>
        <w:t xml:space="preserve">Gitschthaler</w:t>
      </w:r>
      <w:r>
        <w:rPr>
          <w:rFonts w:ascii="Arial" w:hAnsi="Arial" w:eastAsia="Arial" w:cs="Arial"/>
          <w:color w:val="000000"/>
          <w:sz w:val="20"/>
          <w:szCs w:val="20"/>
        </w:rPr>
        <w:t xml:space="preserve">, aaO, Rz 113 Anm 2).</w:t>
      </w:r>
    </w:p>
    <w:p>
      <w:pPr>
        <w:widowControl w:val="on"/>
        <w:pBdr/>
        <w:spacing w:before="140" w:after="240" w:line="288" w:lineRule="auto"/>
        <w:ind w:left="0" w:right="0"/>
        <w:jc w:val="left"/>
      </w:pPr>
      <w:r>
        <w:rPr>
          <w:rFonts w:ascii="Arial" w:hAnsi="Arial" w:eastAsia="Arial" w:cs="Arial"/>
          <w:color w:val="000000"/>
          <w:sz w:val="20"/>
          <w:szCs w:val="20"/>
        </w:rPr>
        <w:t xml:space="preserve">Zu bemerken ist aber, dass grundsätzlich § 12 MRG über die
Abtretung der Mietrechte auch dann anwendbar ist, wenn ein
geschiedene Ehegatte dem anderen Teil die Wohnung überlässt, sofern
nur die Ehegatten bis dahin im gemeinsamen Haushalt gelebt haben
und der Grund der Überlassung der Mietrechte in der Scheidung der
Ehe gelegen ist. Dies ist umso mehr auf den Fall anzuwenden, dass
eine Ehewohnung anlässlich der im Zuge der einverständlichen
Scheidung zu treffenden Regelung des Gebrauchsvermögens dem anderen
Ehegatten überlassen wird (</w:t>
      </w:r>
      <w:r>
        <w:rPr>
          <w:rFonts w:ascii="Arial" w:hAnsi="Arial" w:eastAsia="Arial" w:cs="Arial"/>
          <w:i/>
          <w:iCs/>
          <w:color w:val="000000"/>
          <w:sz w:val="20"/>
          <w:szCs w:val="20"/>
        </w:rPr>
        <w:t xml:space="preserve">Gitschthaler</w:t>
      </w:r>
      <w:r>
        <w:rPr>
          <w:rFonts w:ascii="Arial" w:hAnsi="Arial" w:eastAsia="Arial" w:cs="Arial"/>
          <w:color w:val="000000"/>
          <w:sz w:val="20"/>
          <w:szCs w:val="20"/>
        </w:rPr>
        <w:t xml:space="preserve">, aaO, Rz 116
mwN).</w:t>
      </w:r>
    </w:p>
    <w:p>
      <w:pPr>
        <w:widowControl w:val="on"/>
        <w:pBdr/>
        <w:spacing w:before="140" w:after="240" w:line="288" w:lineRule="auto"/>
        <w:ind w:left="0" w:right="0"/>
        <w:jc w:val="left"/>
      </w:pPr>
      <w:r>
        <w:rPr>
          <w:rFonts w:ascii="Arial" w:hAnsi="Arial" w:eastAsia="Arial" w:cs="Arial"/>
          <w:color w:val="000000"/>
          <w:sz w:val="20"/>
          <w:szCs w:val="20"/>
        </w:rPr>
        <w:t xml:space="preserve">Zu beachten ist dabei jedenfalls, dass eine allfällige
Antragstellung analog § 98 EheG binnen der Jahresfrist des
§ 95 EheG gestellt werden muss.</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4571049">
    <w:multiLevelType w:val="hybridMultilevel"/>
    <w:lvl w:ilvl="0" w:tplc="97478598">
      <w:start w:val="1"/>
      <w:numFmt w:val="decimal"/>
      <w:lvlText w:val="%1."/>
      <w:lvlJc w:val="left"/>
      <w:pPr>
        <w:ind w:left="720" w:hanging="360"/>
      </w:pPr>
    </w:lvl>
    <w:lvl w:ilvl="1" w:tplc="97478598" w:tentative="1">
      <w:start w:val="1"/>
      <w:numFmt w:val="lowerLetter"/>
      <w:lvlText w:val="%2."/>
      <w:lvlJc w:val="left"/>
      <w:pPr>
        <w:ind w:left="1440" w:hanging="360"/>
      </w:pPr>
    </w:lvl>
    <w:lvl w:ilvl="2" w:tplc="97478598" w:tentative="1">
      <w:start w:val="1"/>
      <w:numFmt w:val="lowerRoman"/>
      <w:lvlText w:val="%3."/>
      <w:lvlJc w:val="right"/>
      <w:pPr>
        <w:ind w:left="2160" w:hanging="180"/>
      </w:pPr>
    </w:lvl>
    <w:lvl w:ilvl="3" w:tplc="97478598" w:tentative="1">
      <w:start w:val="1"/>
      <w:numFmt w:val="decimal"/>
      <w:lvlText w:val="%4."/>
      <w:lvlJc w:val="left"/>
      <w:pPr>
        <w:ind w:left="2880" w:hanging="360"/>
      </w:pPr>
    </w:lvl>
    <w:lvl w:ilvl="4" w:tplc="97478598" w:tentative="1">
      <w:start w:val="1"/>
      <w:numFmt w:val="lowerLetter"/>
      <w:lvlText w:val="%5."/>
      <w:lvlJc w:val="left"/>
      <w:pPr>
        <w:ind w:left="3600" w:hanging="360"/>
      </w:pPr>
    </w:lvl>
    <w:lvl w:ilvl="5" w:tplc="97478598" w:tentative="1">
      <w:start w:val="1"/>
      <w:numFmt w:val="lowerRoman"/>
      <w:lvlText w:val="%6."/>
      <w:lvlJc w:val="right"/>
      <w:pPr>
        <w:ind w:left="4320" w:hanging="180"/>
      </w:pPr>
    </w:lvl>
    <w:lvl w:ilvl="6" w:tplc="97478598" w:tentative="1">
      <w:start w:val="1"/>
      <w:numFmt w:val="decimal"/>
      <w:lvlText w:val="%7."/>
      <w:lvlJc w:val="left"/>
      <w:pPr>
        <w:ind w:left="5040" w:hanging="360"/>
      </w:pPr>
    </w:lvl>
    <w:lvl w:ilvl="7" w:tplc="97478598" w:tentative="1">
      <w:start w:val="1"/>
      <w:numFmt w:val="lowerLetter"/>
      <w:lvlText w:val="%8."/>
      <w:lvlJc w:val="left"/>
      <w:pPr>
        <w:ind w:left="5760" w:hanging="360"/>
      </w:pPr>
    </w:lvl>
    <w:lvl w:ilvl="8" w:tplc="97478598" w:tentative="1">
      <w:start w:val="1"/>
      <w:numFmt w:val="lowerRoman"/>
      <w:lvlText w:val="%9."/>
      <w:lvlJc w:val="right"/>
      <w:pPr>
        <w:ind w:left="6480" w:hanging="180"/>
      </w:pPr>
    </w:lvl>
  </w:abstractNum>
  <w:abstractNum w:abstractNumId="74571048">
    <w:multiLevelType w:val="hybridMultilevel"/>
    <w:lvl w:ilvl="0" w:tplc="9979795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4571048">
    <w:abstractNumId w:val="74571048"/>
  </w:num>
  <w:num w:numId="74571049">
    <w:abstractNumId w:val="745710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411204007" Type="http://schemas.openxmlformats.org/officeDocument/2006/relationships/numbering" Target="numbering.xml"/><Relationship Id="rId676835123" Type="http://schemas.openxmlformats.org/officeDocument/2006/relationships/comments" Target="comments.xml"/><Relationship Id="rId23786a8b93a900cf8" Type="http://schemas.openxmlformats.org/officeDocument/2006/relationships/hyperlink" Target="https://www.statistik.at/Indexrechner/" TargetMode="External"/><Relationship Id="rId55206a8b93a901010" Type="http://schemas.openxmlformats.org/officeDocument/2006/relationships/hyperlink" Target="https://www.trennungundscheidung.at/elternberatung-vor-scheidung/berater/"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