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7026312" w:name="document"/>
    <w:bookmarkEnd w:id="47026312"/>
    <w:p/>
    <w:p>
      <w:pPr>
        <w:widowControl w:val="on"/>
        <w:pBdr/>
        <w:spacing w:before="0" w:after="280" w:line="240" w:lineRule="auto"/>
        <w:ind w:left="0" w:right="0"/>
        <w:jc w:val="left"/>
      </w:pPr>
      <w:r>
        <w:rPr>
          <w:rFonts w:ascii="Arial" w:hAnsi="Arial" w:eastAsia="Arial" w:cs="Arial"/>
          <w:color w:val="363A40"/>
          <w:sz w:val="24"/>
          <w:szCs w:val="24"/>
        </w:rPr>
        <w:t xml:space="preserve">Dokument-ID: 1055355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Stufenklage Unterhalt (Art XLII EGZPO; § 69 Abs 2 EheG)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hat eine Stufenklage betreffend
nachehelichen Unterhalt gem § 69 Abs 2 EheG zum Inhalt.
In den Anmerkungen werden kurz die Rechtslage in Zusammenhang mit
dem geltend gemachten Unterhalt und ausführlich Rechtslage und
Verfahren zu einer solchen Stufenklage dargelegt.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r>
        <w:rPr>
          <w:rFonts w:ascii="Arial" w:hAnsi="Arial" w:eastAsia="Arial" w:cs="Arial"/>
          <w:color w:val="000000"/>
          <w:sz w:val="20"/>
          <w:szCs w:val="20"/>
        </w:rPr>
        <w:br/>
        <w:t xml:space="preserve">An das</w:t>
      </w:r>
      <w:r>
        <w:rPr>
          <w:rFonts w:ascii="Arial" w:hAnsi="Arial" w:eastAsia="Arial" w:cs="Arial"/>
          <w:color w:val="000000"/>
          <w:sz w:val="20"/>
          <w:szCs w:val="20"/>
        </w:rPr>
        <w:br/>
        <w:t xml:space="preserve">Bezirksgericht Innere Stadt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15.09.2023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Irmengard Strauss, geb 14.03.1949, Pensionistin</w:t>
            </w:r>
            <w:r>
              <w:rPr>
                <w:rFonts w:ascii="Arial" w:hAnsi="Arial" w:eastAsia="Arial" w:cs="Arial"/>
                <w:color w:val="000000"/>
                <w:position w:val="0"/>
                <w:sz w:val="20"/>
                <w:szCs w:val="20"/>
                <w:shd w:val="clear" w:color="auto" w:fill="FFFFFF"/>
              </w:rPr>
              <w:br/>
              <w:t xml:space="preserve">Lannergasse 15/8</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 a RAO verlangt der gefertigte Anwalt</w:t>
            </w:r>
            <w:r>
              <w:rPr>
                <w:rFonts w:ascii="Arial" w:hAnsi="Arial" w:eastAsia="Arial" w:cs="Arial"/>
                <w:color w:val="000000"/>
                <w:position w:val="0"/>
                <w:sz w:val="20"/>
                <w:szCs w:val="20"/>
                <w:shd w:val="clear" w:color="auto" w:fill="FFFFFF"/>
              </w:rPr>
              <w:br/>
              <w:t xml:space="preserve">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Ing. Kurt Strauss, geb 19.07.1939, Pensionist</w:t>
            </w:r>
            <w:r>
              <w:rPr>
                <w:rFonts w:ascii="Arial" w:hAnsi="Arial" w:eastAsia="Arial" w:cs="Arial"/>
                <w:color w:val="000000"/>
                <w:position w:val="0"/>
                <w:sz w:val="20"/>
                <w:szCs w:val="20"/>
                <w:shd w:val="clear" w:color="auto" w:fill="FFFFFF"/>
              </w:rPr>
              <w:br/>
              <w:t xml:space="preserve">Avda. Jaime III, 103</w:t>
            </w:r>
            <w:r>
              <w:rPr>
                <w:rFonts w:ascii="Arial" w:hAnsi="Arial" w:eastAsia="Arial" w:cs="Arial"/>
                <w:color w:val="000000"/>
                <w:position w:val="0"/>
                <w:sz w:val="20"/>
                <w:szCs w:val="20"/>
                <w:shd w:val="clear" w:color="auto" w:fill="FFFFFF"/>
              </w:rPr>
              <w:br/>
              <w:t xml:space="preserve">E-07012 Palma de Mallorca, Spanien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Rechnungslegung und Unterhalt</w:t>
            </w:r>
            <w:r>
              <w:rPr>
                <w:rFonts w:ascii="Arial" w:hAnsi="Arial" w:eastAsia="Arial" w:cs="Arial"/>
                <w:color w:val="000000"/>
                <w:position w:val="0"/>
                <w:sz w:val="20"/>
                <w:szCs w:val="20"/>
                <w:shd w:val="clear" w:color="auto" w:fill="FFFFFF"/>
              </w:rPr>
              <w:br/>
              <w:t xml:space="preserve">(BM RATG und GGG EUR 5.000,–)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ich um Kenntnisnahme sowie Zustellung
sämtlicher gerichtlicher Schriftstücke zuhanden meines
ausgewiesenen Vertreters.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t xml:space="preserve"> Der Beklagte und ich waren von 28.04.1966
bis 24.01.1996 miteinander verheiratet. Unsere Ehe wurde jedoch mit
Urteil des Bezirksgerichtes Hietzing vom 08.08.1995 zur dg GZ 1 C
72/94s gem § 55 EheG aus dem Verschulden des Beklagten
geschieden.</w:t>
      </w:r>
    </w:p>
    <w:p>
      <w:pPr>
        <w:widowControl w:val="on"/>
        <w:pBdr/>
        <w:spacing w:before="140" w:after="240" w:line="288" w:lineRule="auto"/>
        <w:ind w:left="0" w:right="0"/>
        <w:jc w:val="left"/>
      </w:pPr>
      <w:r>
        <w:rPr>
          <w:rFonts w:ascii="Arial" w:hAnsi="Arial" w:eastAsia="Arial" w:cs="Arial"/>
          <w:color w:val="000000"/>
          <w:sz w:val="20"/>
          <w:szCs w:val="20"/>
        </w:rPr>
        <w:t xml:space="preserve">Der Beklagte ist mir seither zur Leistung von Unterhalt auf
Basis von § 69 Abs 2 EheG verpflichtet.</w:t>
      </w:r>
    </w:p>
    <w:p>
      <w:pPr>
        <w:widowControl w:val="on"/>
        <w:pBdr/>
        <w:spacing w:before="140" w:after="240" w:line="288" w:lineRule="auto"/>
        <w:ind w:left="0" w:right="0"/>
        <w:jc w:val="left"/>
      </w:pPr>
      <w:r>
        <w:rPr>
          <w:rFonts w:ascii="Arial" w:hAnsi="Arial" w:eastAsia="Arial" w:cs="Arial"/>
          <w:color w:val="000000"/>
          <w:sz w:val="20"/>
          <w:szCs w:val="20"/>
        </w:rPr>
        <w:t xml:space="preserve">Zuletzt wurde er mit Urteil des Landesgerichtes für ZRS Wien vom
30.05.2011 (GZ 42 R 791/11p bzw 1 C 53/06x des Bezirksgerichtes
Hietzing) zur Leistung eines monatlichen Unterhaltes von
EUR 279,– mir gegenüber verpflichtet.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22641391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Akt 1 C 53/06x des Bezirksgerichtes Hietzing, dessen
Beischaffung ich beantrage</w:t>
            </w:r>
          </w:p>
          <w:p>
            <w:pPr>
              <w:numPr>
                <w:ilvl w:val="0"/>
                <w:numId w:val="226413916"/>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t xml:space="preserve"> Seit der erwähnten letzten gerichtlichen
Festsetzung meines Unterhaltsanspruches gegen den Beklagten wurde
dieser nicht mehr angepasst. Tatsächlich haben sich unsere
Einkommensverhältnisse seit dieser letzten Unterhaltsfestsetzung
nun dergestalt geändert, dass nunmehr eine Neubemessung meines
Unterhaltes gerechtfertigt ist.</w:t>
      </w:r>
    </w:p>
    <w:p>
      <w:pPr>
        <w:widowControl w:val="on"/>
        <w:pBdr/>
        <w:spacing w:before="140" w:after="240" w:line="288" w:lineRule="auto"/>
        <w:ind w:left="0" w:right="0"/>
        <w:jc w:val="left"/>
      </w:pPr>
      <w:r>
        <w:rPr>
          <w:rFonts w:ascii="Arial" w:hAnsi="Arial" w:eastAsia="Arial" w:cs="Arial"/>
          <w:color w:val="000000"/>
          <w:sz w:val="20"/>
          <w:szCs w:val="20"/>
        </w:rPr>
        <w:t xml:space="preserve">Der Beklagte und ich befinden sich bereits seit langer Zeit in
Pension. Sowohl er als auch ich erhalten einerseits eine Pension
aus England aufgrund unserer dortigen Berufstätigkeit sowie eine
österreichische Pension von der PVA.</w:t>
      </w:r>
    </w:p>
    <w:p>
      <w:pPr>
        <w:widowControl w:val="on"/>
        <w:pBdr/>
        <w:spacing w:before="140" w:after="240" w:line="288" w:lineRule="auto"/>
        <w:ind w:left="0" w:right="0"/>
        <w:jc w:val="left"/>
      </w:pPr>
      <w:r>
        <w:rPr>
          <w:rFonts w:ascii="Arial" w:hAnsi="Arial" w:eastAsia="Arial" w:cs="Arial"/>
          <w:color w:val="000000"/>
          <w:sz w:val="20"/>
          <w:szCs w:val="20"/>
        </w:rPr>
        <w:t xml:space="preserve">Ausgegangen wurde bei der letzten Unterhaltsbemessung im Jahr
2011 von einem monatlich durchschnittlichen Nettoeinkommen des
Beklagten von der PVA von EUR 2.030,67 sowie vom englischen
Pension Service von umgerechnet EUR 42,60 insgesamt daher
EUR 2.073,27 und eines monatlichen Pensionseinkommens
meinerseits von der PVA von EUR 880,53 und vom englischen
Pension Service von EUR 37,25 insgesamt daher EUR 917,78
(vgl Akt 1 C 53/06x des Bezirksgerichtes Hietzing, ON 87, Seite
4f).</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18933494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Akt 1 C 53/06x des Bezirksgerichtes Hietzing, dessen
Beischaffung ich beantrage;</w:t>
            </w:r>
          </w:p>
          <w:p>
            <w:pPr>
              <w:numPr>
                <w:ilvl w:val="0"/>
                <w:numId w:val="18933494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t xml:space="preserve"> Der Beklagte und ich haben zuletzt eine
Kommunikation hinsichtlich der seit 2011 geänderten
Einkommensverhältnisse geführt. Bereits aus den mir seitens des
Beklagten für die Zeit ab 2021 übermittelten Pensionsnachweisen
geht hervor, dass der Beklagte mir gegenüber zur Leistung eines
gegenüber dem zuletzt mit Urteil des Landesgerichtes für ZRS Wien
vom 30.5.2011 festgesetzten erhöhten Unterhaltes verpflichtet
ist:</w:t>
      </w:r>
    </w:p>
    <w:p>
      <w:pPr>
        <w:widowControl w:val="on"/>
        <w:pBdr/>
        <w:spacing w:before="140" w:after="240" w:line="288" w:lineRule="auto"/>
        <w:ind w:left="0" w:right="0"/>
        <w:jc w:val="left"/>
      </w:pPr>
      <w:r>
        <w:rPr>
          <w:rFonts w:ascii="Arial" w:hAnsi="Arial" w:eastAsia="Arial" w:cs="Arial"/>
          <w:color w:val="000000"/>
          <w:sz w:val="20"/>
          <w:szCs w:val="20"/>
        </w:rPr>
        <w:t xml:space="preserve">So errechnet sich beispielsweise alleine aufgrund des
österreichischen Pensionsbezuges des Beklagten im Jahr 2021 von
monatlich durchschnittlich EUR 2.337,– sowie seines englischen
Pensionsbezuges von umgerechnet EUR 226,– (GBP 43,34 x 1,2155
x 4,3) insgesamt daher EUR 2.563,– und meines österreichischen
Pensionsbezuges von EUR 964,– sowie meines englischen
Pensionsbezuges von umgerechnet EUR 201,– (GBP 38,55 x 1,2155
x 4,3) insgesamt daher EUR 1.165,– ein monatlicher
Unterhaltsanspruch von EUR 315,–.</w:t>
      </w:r>
    </w:p>
    <w:p>
      <w:pPr>
        <w:widowControl w:val="on"/>
        <w:pBdr/>
        <w:spacing w:before="140" w:after="240" w:line="288" w:lineRule="auto"/>
        <w:ind w:left="0" w:right="0"/>
        <w:jc w:val="left"/>
      </w:pPr>
      <w:r>
        <w:rPr>
          <w:rFonts w:ascii="Arial" w:hAnsi="Arial" w:eastAsia="Arial" w:cs="Arial"/>
          <w:color w:val="000000"/>
          <w:sz w:val="20"/>
          <w:szCs w:val="20"/>
        </w:rPr>
        <w:t xml:space="preserve">Für das Jahr 2022 errechnet sich alleine aufgrund des
österreichischen Pensionsbezuges des Beklagten von monatlich
durchschnittlich EUR 2.353,– sowie seines englischen
Pensionsbezuges von umgerechnet EUR 218,– (GBP 44,40 x 1,1419
x 4,3) insgesamt daher EUR 2.571,– und meines österreichischen
Pensionsbezuges von EUR 972,– sowie meines englischen
Pensionsbezuges von umgerechnet EUR 194,– (GBP 39,50 x 1,1419
x 4,3) insgesamt daher EUR 1.166,– ein monatlicher
Unterhaltsanspruch von EUR 329,–.</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1044041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der PVA der Klägerin;</w:t>
            </w:r>
          </w:p>
          <w:p>
            <w:pPr>
              <w:numPr>
                <w:ilvl w:val="0"/>
                <w:numId w:val="1044041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des Pension Service der
Klägerin;</w:t>
            </w:r>
          </w:p>
          <w:p>
            <w:pPr>
              <w:numPr>
                <w:ilvl w:val="0"/>
                <w:numId w:val="1044041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der PVA des Beklagten;</w:t>
            </w:r>
          </w:p>
          <w:p>
            <w:pPr>
              <w:numPr>
                <w:ilvl w:val="0"/>
                <w:numId w:val="1044041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Konvolut an Bestätigungen des Pension Service des
Beklagten;</w:t>
            </w:r>
          </w:p>
          <w:p>
            <w:pPr>
              <w:numPr>
                <w:ilvl w:val="0"/>
                <w:numId w:val="10440413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t xml:space="preserve"> Der Beklagte führt darüber hinaus aber auch
noch namhafte Einkünfte aus Vermietung ins Verdienen, welche bei
der gegenständlichen Unterhaltsbemessung zu berücksichtigen
sind.</w:t>
      </w:r>
    </w:p>
    <w:p>
      <w:pPr>
        <w:widowControl w:val="on"/>
        <w:pBdr/>
        <w:spacing w:before="140" w:after="240" w:line="288" w:lineRule="auto"/>
        <w:ind w:left="0" w:right="0"/>
        <w:jc w:val="left"/>
      </w:pPr>
      <w:r>
        <w:rPr>
          <w:rFonts w:ascii="Arial" w:hAnsi="Arial" w:eastAsia="Arial" w:cs="Arial"/>
          <w:color w:val="000000"/>
          <w:sz w:val="20"/>
          <w:szCs w:val="20"/>
        </w:rPr>
        <w:t xml:space="preserve">Die Liegenschaft EZ 999 GB 01514 Währing mit der Anschrift 1190
Wien, Moserstraße 10 steht im grundbücherlichen und unbelasteten
Alleineigentum des Beklagten. In diesem Objekt befinden sich
mehrere Wohneinheiten aber auch Geschäftslokale, welche vom
Beklagten vermietet werden.</w:t>
      </w:r>
    </w:p>
    <w:p>
      <w:pPr>
        <w:widowControl w:val="on"/>
        <w:pBdr/>
        <w:spacing w:before="140" w:after="240" w:line="288" w:lineRule="auto"/>
        <w:ind w:left="0" w:right="0"/>
        <w:jc w:val="left"/>
      </w:pPr>
      <w:r>
        <w:rPr>
          <w:rFonts w:ascii="Arial" w:hAnsi="Arial" w:eastAsia="Arial" w:cs="Arial"/>
          <w:color w:val="000000"/>
          <w:sz w:val="20"/>
          <w:szCs w:val="20"/>
        </w:rPr>
        <w:t xml:space="preserve">ME muss der Beklagte aus den verschiedenen Vermietungen
monatliche Einkünfte von zumindest EUR 5.000,– ins Verdienen
führen, sodass er entsprechend zur Leistung eines weit höheren
monatlichen Unterhaltes mir gegenüber verpflichtet wäre.</w:t>
      </w:r>
    </w:p>
    <w:p>
      <w:pPr>
        <w:widowControl w:val="on"/>
        <w:pBdr/>
        <w:spacing w:before="140" w:after="240" w:line="288" w:lineRule="auto"/>
        <w:ind w:left="0" w:right="0"/>
        <w:jc w:val="left"/>
      </w:pPr>
      <w:r>
        <w:rPr>
          <w:rFonts w:ascii="Arial" w:hAnsi="Arial" w:eastAsia="Arial" w:cs="Arial"/>
          <w:color w:val="000000"/>
          <w:sz w:val="20"/>
          <w:szCs w:val="20"/>
        </w:rPr>
        <w:t xml:space="preserve">Die genaue Höhe dieser Einkünfte verschweigt er jedoch
beharrlich.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395993404"/>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Beiliegender Grundbuchauszug der Liegenschaft EZ 999 GB 01514
Währing;</w:t>
            </w:r>
          </w:p>
          <w:p>
            <w:pPr>
              <w:numPr>
                <w:ilvl w:val="0"/>
                <w:numId w:val="395993404"/>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t xml:space="preserve"> Ich habe den Beklagten mit Schreiben meiner
rechtsfreundlichen Vertreter vom 07.08.2023 um die Übermittlung von
aussagekräftigen Einkommensunterlagen für die Zeit ab 2021, aus
denen auch diese Einkünfte aus Vermietung und Verpachtung
ersichtlich sind, sohin insbesondere seiner
Einkommensteuerbescheide 2021 und 2022, ersucht.</w:t>
      </w:r>
    </w:p>
    <w:p>
      <w:pPr>
        <w:widowControl w:val="on"/>
        <w:pBdr/>
        <w:spacing w:before="140" w:after="240" w:line="288" w:lineRule="auto"/>
        <w:ind w:left="0" w:right="0"/>
        <w:jc w:val="left"/>
      </w:pPr>
      <w:r>
        <w:rPr>
          <w:rFonts w:ascii="Arial" w:hAnsi="Arial" w:eastAsia="Arial" w:cs="Arial"/>
          <w:color w:val="000000"/>
          <w:sz w:val="20"/>
          <w:szCs w:val="20"/>
        </w:rPr>
        <w:t xml:space="preserve">Erst mit Schreiben vom 04.09.2023 hat der Beklagte hierauf
reagiert und seine bereits oben erwähnten Pensionsnachweise
übermittelt; auf seine Einkünfte aus Vermietung ist er hierbei
jedoch mit keinem Wort eingegangen und hat auch seine
Einkommensteuerbescheide für den hier relevanten Zeitraum nicht
übermittelt.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numPr>
                <w:ilvl w:val="0"/>
                <w:numId w:val="5380590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Schreiben meiner rechtsfreundlichen Vertreter vom
07.08.2023;</w:t>
            </w:r>
          </w:p>
          <w:p>
            <w:pPr>
              <w:numPr>
                <w:ilvl w:val="0"/>
                <w:numId w:val="5380590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Schreiben der rechtsfreundlichen Vertreter des Beklagten vom
04.09.2023;</w:t>
            </w:r>
          </w:p>
          <w:p>
            <w:pPr>
              <w:numPr>
                <w:ilvl w:val="0"/>
                <w:numId w:val="538059069"/>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PV.</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t xml:space="preserve"> Mangels Vorlage der vollständigen
Einkommensnachweise des Beklagten sehe ich mich daher nunmehr zur
gegenständlichen Klagsführung gezwungen, wobei ich in erster Linie
ein entsprechendes Rechnungslegungsbegehren geltend mache und
hierauf aufbauend die mir zustehenden erhöhten Unterhaltsbeträge
gegenüber dem Beklagten.</w:t>
      </w:r>
    </w:p>
    <w:p>
      <w:pPr>
        <w:widowControl w:val="on"/>
        <w:pBdr/>
        <w:spacing w:before="140" w:after="240" w:line="288" w:lineRule="auto"/>
        <w:ind w:left="0" w:right="0"/>
        <w:jc w:val="left"/>
      </w:pPr>
      <w:r>
        <w:rPr>
          <w:rFonts w:ascii="Arial" w:hAnsi="Arial" w:eastAsia="Arial" w:cs="Arial"/>
          <w:color w:val="000000"/>
          <w:sz w:val="20"/>
          <w:szCs w:val="20"/>
        </w:rPr>
        <w:t xml:space="preserve">Ich verweise darauf, dass ich auf die Schaffung eines
angepassten gerichtlichen Unterhaltstitels auch grundsätzlich
angewiesen bin.</w:t>
      </w:r>
    </w:p>
    <w:p>
      <w:pPr>
        <w:widowControl w:val="on"/>
        <w:pBdr/>
        <w:spacing w:before="140" w:after="240" w:line="288" w:lineRule="auto"/>
        <w:ind w:left="0" w:right="0"/>
        <w:jc w:val="left"/>
      </w:pPr>
      <w:r>
        <w:rPr>
          <w:rFonts w:ascii="Arial" w:hAnsi="Arial" w:eastAsia="Arial" w:cs="Arial"/>
          <w:color w:val="000000"/>
          <w:sz w:val="20"/>
          <w:szCs w:val="20"/>
        </w:rPr>
        <w:t xml:space="preserve">Bis zur gegenständlich begehrten Rechnungslegung durch den
Beklagten ist zunächst von einem Streitwert in Höhe von
EUR 5.000,– auszugehen (§ 56 Abs 2 S 3 JN).</w:t>
      </w:r>
    </w:p>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beantrage ich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t xml:space="preserve"> Der Beklagte, Ing. Kurt Strauss, geb
19.07.1939, ist schuldig, binnen 14 Tagen bei sonstiger Exekution,
der Klägerin, Irmengard Strauss, geb 14.03.1949, über seine
Pensionseinkünfte, seine Einkünfte aus Vermietung und Verpachtung
sowie sämtliche sonstige unterhaltsrelevante Einkünfte aus
sonstiger selbstständiger und unselbstständiger Tätigkeit, aus
Beteiligungen und aus Kapitalvermögen udgl für die Zeit von
01.01.2021 bis 30.09.2023 Rechnung zu legen, dies insbesondere
durch Vorlage seiner Einnahmen-/Ausgabenrechnungen sowie
Einkommensteuerbescheide der Jahre 2021 und 2022.</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t xml:space="preserve"> Der Beklagte ist schuldig, einen Eid dahin
zu leisten, dass die von ihm gem Punkt 1. zu tätigenden Angaben
richtig und vollständig sind.</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t xml:space="preserve"> Der Beklagte ist weiters schuldig, binnen 14
Tagen bei sonstiger Exekution, der Klägerin die sich aufgrund der
erfolgten Rechnungslegung für die Zeit von 01.01.2021 bis
30.09.2023 ergeben habenden Beträge an rückständigem Unterhalt samt
der gesetzlichen Zinsen zu bezahlen, sowie ab 01.10.2023
entsprechende laufende monatliche Unterhaltsbeträge entsprechend
der Bestimmung des § 94 ABGB zu bezahlen, wobei die
ziffernmäßige Festsetzung dieses Begehrens bis zu der gem Punkte 1.
bis 2. des Urteilsspruches erfolgten Rechnungslegung vorbehalten
bleibt.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t xml:space="preserve"> Der Beklagte ist ferner schuldig, der
Klägerin die Kosten dieses Verfahrens zuhanden ihrer ausgewiesenen
Vertreter (§ 19a RAO) binnen 14 Tagen bei sonstiger Exekution
zu bezahlen.</w:t>
      </w:r>
    </w:p>
    <w:p>
      <w:pPr>
        <w:widowControl w:val="on"/>
        <w:pBdr/>
        <w:spacing w:before="140" w:after="240" w:line="288" w:lineRule="auto"/>
        <w:ind w:left="0" w:right="0"/>
        <w:jc w:val="left"/>
      </w:pPr>
      <w:r>
        <w:rPr>
          <w:rFonts w:ascii="Arial" w:hAnsi="Arial" w:eastAsia="Arial" w:cs="Arial"/>
          <w:color w:val="000000"/>
          <w:sz w:val="20"/>
          <w:szCs w:val="20"/>
        </w:rPr>
        <w:t xml:space="preserve">Irmengard Strauss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735438" w:name="note1"/>
            <w:bookmarkEnd w:id="24735438"/>
            <w:bookmarkStart w:id="4087115219049" w:name="note1"/>
            <w:r>
              <w:rPr>
                <w:rFonts w:ascii="Arial" w:hAnsi="Arial" w:eastAsia="Arial" w:cs="Arial"/>
                <w:b/>
                <w:bCs/>
                <w:color w:val="000000"/>
                <w:position w:val="0"/>
                <w:sz w:val="20"/>
                <w:szCs w:val="20"/>
              </w:rPr>
              <w:t xml:space="preserve">[1]</w:t>
            </w:r>
            <w:bookmarkEnd w:id="4087115219049"/>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sachliche
Zuständigkeit</w:t>
            </w:r>
            <w:r>
              <w:rPr>
                <w:rFonts w:ascii="Arial" w:hAnsi="Arial" w:eastAsia="Arial" w:cs="Arial"/>
                <w:color w:val="000000"/>
                <w:position w:val="0"/>
                <w:sz w:val="20"/>
                <w:szCs w:val="20"/>
              </w:rPr>
              <w:t xml:space="preserve"> richtet sich im gegenständlichen Fall nach
§ 49 Abs 2 Z 2 JN. Demnach gehören Streitigkeiten
über den aus dem Gesetz gebührenden Unterhalt, mit Ausnahme der
Angelegenheiten des gesetzlichen Unterhaltes zwischen in gerader
Linie verwandten Personen, ohne Rücksicht auf den Wert des
Streitgegenstandes vor die Bezirksgerichte.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örtliche
Zuständigkeit</w:t>
            </w:r>
            <w:r>
              <w:rPr>
                <w:rFonts w:ascii="Arial" w:hAnsi="Arial" w:eastAsia="Arial" w:cs="Arial"/>
                <w:color w:val="000000"/>
                <w:position w:val="0"/>
                <w:sz w:val="20"/>
                <w:szCs w:val="20"/>
              </w:rPr>
              <w:t xml:space="preserve"> richtet sich grundsätzlich nach dem
allgemeinen Gerichtsstand., es sei denn, eine Streitigkeit über die
Scheidung, die Aufhebung, die Nichtigerklärung oder die
Feststellung des Bestehens oder Nichtbestehen einer Ehe ist
anhängig oder wird gleichzeitig anhängig gemacht. Diesfalls ordnet
§ 76a JN an, dass ua auch für Streitigkeiten über den
gesetzlichen Unterhalt das Gericht, bei dem eine im § 76
Abs 1 JN genannte Streitigkeit anhängig ist oder gleichzeitig
anhängig gemacht wird, ausschließlich zuständig ist. Dies gilt aber
dann nicht, wenn die Verhandlung über die Scheidung, die Aufhebung,
die Auflösung, die Nichtigerklärung oder das Bestehen oder
Nichtbestehen der Ehe in 1. Instanz bereits geschlossen ist.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6593712" w:name="note2"/>
            <w:bookmarkEnd w:id="96593712"/>
            <w:bookmarkStart w:id="8261044465965" w:name="note2"/>
            <w:r>
              <w:rPr>
                <w:rFonts w:ascii="Arial" w:hAnsi="Arial" w:eastAsia="Arial" w:cs="Arial"/>
                <w:b/>
                <w:bCs/>
                <w:color w:val="000000"/>
                <w:position w:val="0"/>
                <w:sz w:val="20"/>
                <w:szCs w:val="20"/>
              </w:rPr>
              <w:t xml:space="preserve">[2]</w:t>
            </w:r>
            <w:bookmarkEnd w:id="8261044465965"/>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In internationalen Fällen ergibt
sich die </w:t>
            </w:r>
            <w:r>
              <w:rPr>
                <w:rFonts w:ascii="Arial" w:hAnsi="Arial" w:eastAsia="Arial" w:cs="Arial"/>
                <w:b/>
                <w:bCs/>
                <w:color w:val="000000"/>
                <w:position w:val="0"/>
                <w:sz w:val="20"/>
                <w:szCs w:val="20"/>
              </w:rPr>
              <w:t xml:space="preserve">(internationale) Zuständigkeit</w:t>
            </w:r>
            <w:r>
              <w:rPr>
                <w:rFonts w:ascii="Arial" w:hAnsi="Arial" w:eastAsia="Arial" w:cs="Arial"/>
                <w:color w:val="000000"/>
                <w:position w:val="0"/>
                <w:sz w:val="20"/>
                <w:szCs w:val="20"/>
              </w:rPr>
              <w:t xml:space="preserve"> zunächst
aus der </w:t>
            </w:r>
            <w:r>
              <w:rPr>
                <w:rFonts w:ascii="Arial" w:hAnsi="Arial" w:eastAsia="Arial" w:cs="Arial"/>
                <w:b/>
                <w:bCs/>
                <w:color w:val="000000"/>
                <w:position w:val="0"/>
                <w:sz w:val="20"/>
                <w:szCs w:val="20"/>
              </w:rPr>
              <w:t xml:space="preserve">EuUVO</w:t>
            </w:r>
            <w:r>
              <w:rPr>
                <w:rFonts w:ascii="Arial" w:hAnsi="Arial" w:eastAsia="Arial" w:cs="Arial"/>
                <w:color w:val="000000"/>
                <w:position w:val="0"/>
                <w:sz w:val="20"/>
                <w:szCs w:val="20"/>
              </w:rPr>
              <w:t xml:space="preserv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Art 3 EuUVO ist für
Entscheidungen in Unterhaltssachen in den Mitgliedstaaten
zuständig</w:t>
            </w:r>
          </w:p>
          <w:p>
            <w:pPr>
              <w:numPr>
                <w:ilvl w:val="0"/>
                <w:numId w:val="35332098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des Ortes, an dem der Beklagte seinen gewöhnlichen
Aufenthalt hat, oder</w:t>
            </w:r>
          </w:p>
          <w:p>
            <w:pPr>
              <w:numPr>
                <w:ilvl w:val="0"/>
                <w:numId w:val="35332098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des Ortes, an dem die berechtigte Person ihren
gewöhnlichen Aufenthalt hat, oder</w:t>
            </w:r>
          </w:p>
          <w:p>
            <w:pPr>
              <w:numPr>
                <w:ilvl w:val="0"/>
                <w:numId w:val="35332098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das nach seinem Recht für ein Verfahren in Bezug
auf den Personenstand zuständig ist, wenn in der Nebensache zu
diesem Verfahren über eine Unterhaltssache zu entscheiden ist, es
sei denn, diese Zuständigkeit begründet sich einzig auf der
Staatsangehörigkeit einer der Parteien, oder</w:t>
            </w:r>
          </w:p>
          <w:p>
            <w:pPr>
              <w:numPr>
                <w:ilvl w:val="0"/>
                <w:numId w:val="35332098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Gericht, das nach seinem Recht für ein Verfahren in Bezug
auf die elterliche Verantwortung zuständig ist, wenn in der
Nebensache zu diesem Verfahren über eine Unterhaltssache zu
entscheiden ist, es sei denn, diese Zuständigkeit beruht einzig auf
der Staatsangehörigkeit einer der Parteien.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Regelungsgegenstand des Art 3
lit b EuUVO bildet die internationale wie auch die
</w:t>
            </w:r>
            <w:r>
              <w:rPr>
                <w:rFonts w:ascii="Arial" w:hAnsi="Arial" w:eastAsia="Arial" w:cs="Arial"/>
                <w:b/>
                <w:bCs/>
                <w:color w:val="000000"/>
                <w:position w:val="0"/>
                <w:sz w:val="20"/>
                <w:szCs w:val="20"/>
              </w:rPr>
              <w:t xml:space="preserve">örtliche Zuständigkeit</w:t>
            </w:r>
            <w:r>
              <w:rPr>
                <w:rFonts w:ascii="Arial" w:hAnsi="Arial" w:eastAsia="Arial" w:cs="Arial"/>
                <w:color w:val="000000"/>
                <w:position w:val="0"/>
                <w:sz w:val="20"/>
                <w:szCs w:val="20"/>
              </w:rPr>
              <w:t xml:space="preserve">, während sich die sachliche
Zuständigkeit nach der </w:t>
            </w:r>
            <w:r>
              <w:rPr>
                <w:rFonts w:ascii="Arial" w:hAnsi="Arial" w:eastAsia="Arial" w:cs="Arial"/>
                <w:i/>
                <w:iCs/>
                <w:color w:val="000000"/>
                <w:position w:val="0"/>
                <w:sz w:val="20"/>
                <w:szCs w:val="20"/>
              </w:rPr>
              <w:t xml:space="preserve">lex fori</w:t>
            </w:r>
            <w:r>
              <w:rPr>
                <w:rFonts w:ascii="Arial" w:hAnsi="Arial" w:eastAsia="Arial" w:cs="Arial"/>
                <w:color w:val="000000"/>
                <w:position w:val="0"/>
                <w:sz w:val="20"/>
                <w:szCs w:val="20"/>
              </w:rPr>
              <w:t xml:space="preserve"> richtet (</w:t>
            </w:r>
            <w:r>
              <w:rPr>
                <w:rFonts w:ascii="Arial" w:hAnsi="Arial" w:eastAsia="Arial" w:cs="Arial"/>
                <w:i/>
                <w:iCs/>
                <w:color w:val="000000"/>
                <w:position w:val="0"/>
                <w:sz w:val="20"/>
                <w:szCs w:val="20"/>
              </w:rPr>
              <w:t xml:space="preserve">Fuchs</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Internationales Familienrecht, 2019,
Art 3 EuUVO Rz 24).</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Was ferner das </w:t>
            </w:r>
            <w:r>
              <w:rPr>
                <w:rFonts w:ascii="Arial" w:hAnsi="Arial" w:eastAsia="Arial" w:cs="Arial"/>
                <w:b/>
                <w:bCs/>
                <w:color w:val="000000"/>
                <w:position w:val="0"/>
                <w:sz w:val="20"/>
                <w:szCs w:val="20"/>
              </w:rPr>
              <w:t xml:space="preserve">materiell
anwendbare Recht</w:t>
            </w:r>
            <w:r>
              <w:rPr>
                <w:rFonts w:ascii="Arial" w:hAnsi="Arial" w:eastAsia="Arial" w:cs="Arial"/>
                <w:color w:val="000000"/>
                <w:position w:val="0"/>
                <w:sz w:val="20"/>
                <w:szCs w:val="20"/>
              </w:rPr>
              <w:t xml:space="preserve"> anlangt, so ist, soweit nichts anderes
bestimmt ist, für Unterhaltspflichten das Recht des Staates
maßgebend, in dem die berechtigte Person ihren gewöhnlichen
Aufenthalt hat (</w:t>
            </w:r>
            <w:r>
              <w:rPr>
                <w:rFonts w:ascii="Arial" w:hAnsi="Arial" w:eastAsia="Arial" w:cs="Arial"/>
                <w:b/>
                <w:bCs/>
                <w:color w:val="000000"/>
                <w:position w:val="0"/>
                <w:sz w:val="20"/>
                <w:szCs w:val="20"/>
              </w:rPr>
              <w:t xml:space="preserve">Art 3 Abs 1 HUP</w:t>
            </w:r>
            <w:r>
              <w:rPr>
                <w:rFonts w:ascii="Arial" w:hAnsi="Arial" w:eastAsia="Arial" w:cs="Arial"/>
                <w:color w:val="000000"/>
                <w:position w:val="0"/>
                <w:sz w:val="20"/>
                <w:szCs w:val="20"/>
              </w:rPr>
              <w:t xml:space="preserve">).
Wechselt die berechtigte Person ihren gewöhnlichen Aufenthalt, so
ist vom Zeitpunkt des Aufenthaltswechsels an das Recht des Staates
des neuen gewöhnlichen Aufenthalts anzuwenden (Art 3
Abs 2 HUP).</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In Bezug auf Unterhaltspflichten
zwischen Ehegatten, früheren Ehegatten oder Personen, deren Ehe für
ungültig erklärt wurde, findet Art 3 HUP keine Anwendung, wenn
eine der Parteien sich dagegen wendet und das Recht eines anderen
Staates, insbesondere des Staates ihres letzten gemeinsamen
gewöhnlichen Aufenthalts, zu der betreffenden Ehe eine engere
Verbindung aufweist. In diesem Fall ist das Recht dieses anderen
Staates anzuwenden (Art 5 HUP).</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Art 8 Abs 1 HUP können
die Parteien durch </w:t>
            </w:r>
            <w:r>
              <w:rPr>
                <w:rFonts w:ascii="Arial" w:hAnsi="Arial" w:eastAsia="Arial" w:cs="Arial"/>
                <w:b/>
                <w:bCs/>
                <w:color w:val="000000"/>
                <w:position w:val="0"/>
                <w:sz w:val="20"/>
                <w:szCs w:val="20"/>
              </w:rPr>
              <w:t xml:space="preserve">Vereinbarung</w:t>
            </w:r>
            <w:r>
              <w:rPr>
                <w:rFonts w:ascii="Arial" w:hAnsi="Arial" w:eastAsia="Arial" w:cs="Arial"/>
                <w:color w:val="000000"/>
                <w:position w:val="0"/>
                <w:sz w:val="20"/>
                <w:szCs w:val="20"/>
              </w:rPr>
              <w:t xml:space="preserve"> aber jederzeit
eine der folgenden Rechtsordnungen als das auf eine
Unterhaltspflicht anzuwendende Recht bestimmen</w:t>
            </w:r>
          </w:p>
          <w:p>
            <w:pPr>
              <w:numPr>
                <w:ilvl w:val="0"/>
                <w:numId w:val="61063920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eines Staates, dem eine der Parteien im Zeitpunkt der
Rechtswahl angehört;</w:t>
            </w:r>
          </w:p>
          <w:p>
            <w:pPr>
              <w:numPr>
                <w:ilvl w:val="0"/>
                <w:numId w:val="61063920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des Staates, in dem eine der Parteien im Zeitpunkt
der Rechtswahl ihren gewöhnlichen Aufenthalt hat;</w:t>
            </w:r>
          </w:p>
          <w:p>
            <w:pPr>
              <w:numPr>
                <w:ilvl w:val="0"/>
                <w:numId w:val="61063920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das die Parteien als das auf ihren Güterstand
anzuwendende Recht bestimmt haben, oder das tatsächlich darauf
angewandte Recht;</w:t>
            </w:r>
          </w:p>
          <w:p>
            <w:pPr>
              <w:numPr>
                <w:ilvl w:val="0"/>
                <w:numId w:val="61063920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das Recht, das die Parteien als das auf ihre Ehescheidung oder
Trennung ohne Auflösung der Ehe anzuwendende Recht bestimmt haben,
oder das tatsächlich auf diese Ehescheidung oder Trennung
angewandte Recht.</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Eine solche Vereinbarung ist
</w:t>
            </w:r>
            <w:r>
              <w:rPr>
                <w:rFonts w:ascii="Arial" w:hAnsi="Arial" w:eastAsia="Arial" w:cs="Arial"/>
                <w:b/>
                <w:bCs/>
                <w:color w:val="000000"/>
                <w:position w:val="0"/>
                <w:sz w:val="20"/>
                <w:szCs w:val="20"/>
              </w:rPr>
              <w:t xml:space="preserve">schriftlich</w:t>
            </w:r>
            <w:r>
              <w:rPr>
                <w:rFonts w:ascii="Arial" w:hAnsi="Arial" w:eastAsia="Arial" w:cs="Arial"/>
                <w:color w:val="000000"/>
                <w:position w:val="0"/>
                <w:sz w:val="20"/>
                <w:szCs w:val="20"/>
              </w:rPr>
              <w:t xml:space="preserve"> zu erstellen oder auf einem
Datenträger zu erfassen, dessen Inhalt für eine spätere
Einsichtnahme zugänglich ist, und von beiden Parteien zu
unterschreiben (Art 8 Abs 2 HUP).</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50420" w:name="note3"/>
            <w:bookmarkEnd w:id="8850420"/>
            <w:bookmarkStart w:id="8562794815824" w:name="note3"/>
            <w:r>
              <w:rPr>
                <w:rFonts w:ascii="Arial" w:hAnsi="Arial" w:eastAsia="Arial" w:cs="Arial"/>
                <w:b/>
                <w:bCs/>
                <w:color w:val="000000"/>
                <w:position w:val="0"/>
                <w:sz w:val="20"/>
                <w:szCs w:val="20"/>
              </w:rPr>
              <w:t xml:space="preserve">[3]</w:t>
            </w:r>
            <w:bookmarkEnd w:id="8562794815824"/>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gegenständlichen Muster ist
Anspruchsgrundlage für den von der Klägerin begehrten nachehelichen
Unterhalt </w:t>
            </w:r>
            <w:r>
              <w:rPr>
                <w:rFonts w:ascii="Arial" w:hAnsi="Arial" w:eastAsia="Arial" w:cs="Arial"/>
                <w:b/>
                <w:bCs/>
                <w:color w:val="000000"/>
                <w:position w:val="0"/>
                <w:sz w:val="20"/>
                <w:szCs w:val="20"/>
              </w:rPr>
              <w:t xml:space="preserve">§ 69 Abs 2 EheG</w:t>
            </w:r>
            <w:r>
              <w:rPr>
                <w:rFonts w:ascii="Arial" w:hAnsi="Arial" w:eastAsia="Arial" w:cs="Arial"/>
                <w:color w:val="000000"/>
                <w:position w:val="0"/>
                <w:sz w:val="20"/>
                <w:szCs w:val="20"/>
              </w:rPr>
              <w:t xml:space="preserv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Ist die Ehe nach § 55 EheG
geschieden worden und enthält das Urteil den Ausspruch nach
§ 61 Abs 3 EheG, so gilt für den Unterhaltsanspruch des
(dort) beklagten Ehegatten auch nach der Scheidung grundsätzlich
der § 94 ABGB (§ 69 Abs 2 S 1 EheG).</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Hat die Unterhaltsberechtigte im
Scheidungsverfahren also einen Ausspruch nach § 61 Abs 3
EheG erwirkt, wonach der Unterhaltsschuldner die Zerrüttung der Ehe
allein verschuldet hat, ist sie nach § 69 Abs 2 EheG so
zu stellen, wie wenn die Ehe nicht geschieden wäre. Demnach ist
bezüglich des Unterhaltes auf die tatsächlichen Verhältnisse im
Scheidungszeitpunkt abzustellen (RIS-Justiz RS0115545). Die
Bestimmung des § 61 Abs 3 EheG wurde in Verbindung mit
§ 69 Abs 2 EheG zur unterhaltsrechtlichen Sicherung jenes
Ehegatten geschaffen, der sich der Scheidung nach § 55
Abs 2 EheG widersetzt und an der Ehe festhalten will, aber
ungeachtet des Umstandes, dass den klagenden Ehegatten das
ausschließliche oder überwiegende Verschulden an der Zerrüttung der
Ehe trifft, geschieden wird (RIS-Justiz RS0056868).</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Unterhalt des geschiedenen
einkommenslosen Ehegatten bestimmt sich nach den in der Rsp
entwickelten und vom Schrifttum gebilligten Berechnungsformel mit
rund </w:t>
            </w:r>
            <w:r>
              <w:rPr>
                <w:rFonts w:ascii="Arial" w:hAnsi="Arial" w:eastAsia="Arial" w:cs="Arial"/>
                <w:b/>
                <w:bCs/>
                <w:color w:val="000000"/>
                <w:position w:val="0"/>
                <w:sz w:val="20"/>
                <w:szCs w:val="20"/>
              </w:rPr>
              <w:t xml:space="preserve">33 %</w:t>
            </w:r>
            <w:r>
              <w:rPr>
                <w:rFonts w:ascii="Arial" w:hAnsi="Arial" w:eastAsia="Arial" w:cs="Arial"/>
                <w:color w:val="000000"/>
                <w:position w:val="0"/>
                <w:sz w:val="20"/>
                <w:szCs w:val="20"/>
              </w:rPr>
              <w:t xml:space="preserve"> des Nettoeinkommens des
Unterhaltspflichtigen; bei einer </w:t>
            </w:r>
            <w:r>
              <w:rPr>
                <w:rFonts w:ascii="Arial" w:hAnsi="Arial" w:eastAsia="Arial" w:cs="Arial"/>
                <w:b/>
                <w:bCs/>
                <w:color w:val="000000"/>
                <w:position w:val="0"/>
                <w:sz w:val="20"/>
                <w:szCs w:val="20"/>
              </w:rPr>
              <w:t xml:space="preserve">konkurrierenden
Sorgepflicht</w:t>
            </w:r>
            <w:r>
              <w:rPr>
                <w:rFonts w:ascii="Arial" w:hAnsi="Arial" w:eastAsia="Arial" w:cs="Arial"/>
                <w:color w:val="000000"/>
                <w:position w:val="0"/>
                <w:sz w:val="20"/>
                <w:szCs w:val="20"/>
              </w:rPr>
              <w:t xml:space="preserve"> für Kinder ist der genannte Prozentsatz um
etwa 4 % pro Kind (1 Ob 122/11i; RIS-Justiz RS0009547). Für
den Fall, dass beide Teile ein Einkommen ins Verdienen führen, ist
der Unterhalt des schlechter verdienenden schuldlos Geschiedenen
grundsätzlich </w:t>
            </w:r>
            <w:r>
              <w:rPr>
                <w:rFonts w:ascii="Arial" w:hAnsi="Arial" w:eastAsia="Arial" w:cs="Arial"/>
                <w:b/>
                <w:bCs/>
                <w:color w:val="000000"/>
                <w:position w:val="0"/>
                <w:sz w:val="20"/>
                <w:szCs w:val="20"/>
              </w:rPr>
              <w:t xml:space="preserve">40 %</w:t>
            </w:r>
            <w:r>
              <w:rPr>
                <w:rFonts w:ascii="Arial" w:hAnsi="Arial" w:eastAsia="Arial" w:cs="Arial"/>
                <w:color w:val="000000"/>
                <w:position w:val="0"/>
                <w:sz w:val="20"/>
                <w:szCs w:val="20"/>
              </w:rPr>
              <w:t xml:space="preserve"> des gemeinsamen Einkommens
abzüglich des eigenen Einkommens anzusetzen. Auch hier sind
konkurrierende Sorgepflichten wie erwähnt zu berücksichtigen.
Eigeneinkommen des unterhaltsberechtigten Ehegatten, das dieser nur
aus Not wegen Unterhaltsverletzungen des anderen Ehegatten erzielen
muss, mindert den Unterhaltsanspruch grundsätzlich nicht
(RIS-Justiz RS0120509). In den Fällen, in denen die
Berücksichtigung des Einkommens des Unterhaltsberechtigten dazu
führen würde, dass der Unterhaltspflichtige mehr zu bezahlen hätte,
als dann, wenn man das Einkommen des Unterhaltsberechtigten außer
Betracht lässt und den Unterhalt mit dreiunddreißig Prozent des
Einkommens des Verpflichteten bemisst, hat das Einkommen des
Berechtigten außer Betracht zu bleiben (RIS-Justiz RS0057433).</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Unterhaltsanspruch umfasst
jedenfalls auch den Ersatz der Beiträge zur freiwilligen
Versicherung des beklagten Ehegatten in der gesetzlichen
Krankenversicherung. Bei der Bemessung des Unterhaltsanspruchs ist
zudem die Unterhaltspflicht des Verpflichteten für einen neuen
Ehegatten oder eingetragenen Partner nicht zu berücksichtigen, es
sei denn, dies ist bei Abwägung aller Umstände, besonders des
Lebensalters und der Gesundheit des früheren und des neuen
Ehegatten oder eingetragenen Partners, der Dauer ihres gemeinsamen
Haushalts mit dem Verpflichteten und des Wohles ihrer Kinder, aus
Gründen der Billigkeit geboten (§ 69 Abs 2 EheG).</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Ergebnis wird damit der am
Scheitern der Ehe schuldlose Teil, der an sich an der Ehe weiter
festhalten wollen würde, „belohnt“ und unterhaltsrechtlich im
Wesentlichen so gestellt, als wäre die Ehe nicht geschieden worden
(vgl 7 Ob 303/00k EFSlg 97.271).</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011843" w:name="note4"/>
            <w:bookmarkEnd w:id="32011843"/>
            <w:bookmarkStart w:id="2265448154457" w:name="note4"/>
            <w:r>
              <w:rPr>
                <w:rFonts w:ascii="Arial" w:hAnsi="Arial" w:eastAsia="Arial" w:cs="Arial"/>
                <w:b/>
                <w:bCs/>
                <w:color w:val="000000"/>
                <w:position w:val="0"/>
                <w:sz w:val="20"/>
                <w:szCs w:val="20"/>
              </w:rPr>
              <w:t xml:space="preserve">[4]</w:t>
            </w:r>
            <w:bookmarkEnd w:id="2265448154457"/>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 Unterhaltsanspruch auf dieser
Grundlage ist in weiterer Folge auch für die Bemessung einer allf
</w:t>
            </w:r>
            <w:r>
              <w:rPr>
                <w:rFonts w:ascii="Arial" w:hAnsi="Arial" w:eastAsia="Arial" w:cs="Arial"/>
                <w:b/>
                <w:bCs/>
                <w:color w:val="000000"/>
                <w:position w:val="0"/>
                <w:sz w:val="20"/>
                <w:szCs w:val="20"/>
              </w:rPr>
              <w:t xml:space="preserve">Witwen-/Witwerpension</w:t>
            </w:r>
            <w:r>
              <w:rPr>
                <w:rFonts w:ascii="Arial" w:hAnsi="Arial" w:eastAsia="Arial" w:cs="Arial"/>
                <w:color w:val="000000"/>
                <w:position w:val="0"/>
                <w:sz w:val="20"/>
                <w:szCs w:val="20"/>
              </w:rPr>
              <w:t xml:space="preserve"> relevant, worauf im
gegebenen Zusammenhang der Vollständigkeit halber hinzuweisen ist.
Gem § 258 Abs 4 ASVG (vgl auch § 136 Abs 4
GSVG, § 19 Pensionsgesetz 1965) gebührt Witwen-/Witwerpension
entsprechend der übrigen gesetzlichen Maßgaben auch der Frau bzw
dem Mann, deren (dessen) Ehe mit dem (der) Versicherten für nichtig
erklärt, aufgehoben oder geschieden worden ist, wenn ihr (ihm) der
(die) Versicherte zur Zeit seines (ihres) Todes Unterhalt (einen
Unterhaltsbeitrag) zu leisten hatte bzw Unterhalt geleistet hat,
und zwar entweder aufgrund eines gerichtlichen Urteiles, aufgrund
eines gerichtlichen Vergleiches, aufgrund einer vor Auflösung
(Nichtigerklärung) der Ehe eingegangenen vertraglichen
Verpflichtung oder regelmäßig zur Deckung des Unterhaltsbedarfs ab
einem Zeitpunkt nach der Rechtskraft der Scheidung bis zu seinem
(ihrem) Tod, mindestens während der Dauer des letzten Jahres vor
seinem (ihrem) Tod, wenn die Ehe mindestens zehn Jahre gedauert
hat. Die Witwen-/Witwerpension nach dieser Bestimmung gebührt
grundsätzlich unbefristet. Während die Höhe der Pension
entsprechend § 264 Abs 2 ASVG zwischen 0 % und
60 % der (fiktiven) Pension des/der Verstorbenen beträgt,
jedoch nach § 264 Abs 8 und 9 ASVG üblicherweise mit der
Höhe des monatlichen Unterhaltsanspruches (bzw dem im Durchschnitt
der letzten drei Jahre vor dem Tod tatsächlich geleisteten
Unterhalts; § 258 Abs 4 lit d ASVG) begrenzt ist,
gilt diese Begrenzung gem § 264 Abs 10 ASVG nicht für sog
</w:t>
            </w:r>
            <w:r>
              <w:rPr>
                <w:rFonts w:ascii="Arial" w:hAnsi="Arial" w:eastAsia="Arial" w:cs="Arial"/>
                <w:b/>
                <w:bCs/>
                <w:color w:val="000000"/>
                <w:position w:val="0"/>
                <w:sz w:val="20"/>
                <w:szCs w:val="20"/>
              </w:rPr>
              <w:t xml:space="preserve">„begünstigt geschiedene“ frühere Ehegatten</w:t>
            </w:r>
            <w:r>
              <w:rPr>
                <w:rFonts w:ascii="Arial" w:hAnsi="Arial" w:eastAsia="Arial" w:cs="Arial"/>
                <w:color w:val="000000"/>
                <w:position w:val="0"/>
                <w:sz w:val="20"/>
                <w:szCs w:val="20"/>
              </w:rPr>
              <w:t xml:space="preserve">, also
im Wesentlichen wenn das auf Scheidung lautende Urteil den
Ausspruch nach § 61 Abs 3 EheG enthält, die Ehe
mindestens fünfzehn Jahre gedauert und die Frau (der Mann) im
Zeitpunkt des Eintrittes der Rechtskraft des Scheidungsurteiles das
40. Lebensjahr vollendet hat.</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Gerade dann also, wenn ein Ehegatte
keine oder keine hinreichenden Pensionsansprüche erwerben konnte,
ist in der anwaltlichen Beratung unter allen Umständen darauf
Rücksicht zu nehmen, dass eine Scheidung bei Vorliegen der
sonstigen Voraussetzungen auf Basis von §§ 55 iVm 61
Abs 3 EheG erfolgt und ein allenfalls bestehendes Einvernehmen
nicht bloß in eine einvernehmliche Ehescheidung nach § 55a
EheG mündet.</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dem Wortlaut des § 258
Abs 4 ASVG gelten als „taugliche“ Titel gerichtliche Urteile,
gerichtliche Vergleiche und vor Auflösung bzw Nichtigerklärung der
Ehe eingegangene vertragliche Verpflichtungen betreffend den
Unterhalt (</w:t>
            </w:r>
            <w:r>
              <w:rPr>
                <w:rFonts w:ascii="Arial" w:hAnsi="Arial" w:eastAsia="Arial" w:cs="Arial"/>
                <w:i/>
                <w:iCs/>
                <w:color w:val="000000"/>
                <w:position w:val="0"/>
                <w:sz w:val="20"/>
                <w:szCs w:val="20"/>
              </w:rPr>
              <w:t xml:space="preserve">Neumayr</w:t>
            </w:r>
            <w:r>
              <w:rPr>
                <w:rFonts w:ascii="Arial" w:hAnsi="Arial" w:eastAsia="Arial" w:cs="Arial"/>
                <w:color w:val="000000"/>
                <w:position w:val="0"/>
                <w:sz w:val="20"/>
                <w:szCs w:val="20"/>
              </w:rPr>
              <w:t xml:space="preserve">, aaO, 1029).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Grundsätzlich ist in diesem
Zusammenhang aber zu beachten, dass ein durchgehender betragsmäßig
zumindest in einem Mindestmaß bestimmter Unterhalt geschuldet
wird.</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Voraussetzung für einen Anspruch auf
Witwen-/Witwerpension auf der Grundlage von § 258 Abs 4
lit a–c ASVG ist, dass der titulierte Unterhaltsanspruch im
Todeszeitpunkt materiell aufrecht besteht, also weder ruht noch im
Hinblick auf geäderte Verhältnisse, etwa wegen einer Befristung des
Anspruches oder wegen eines entsprechenden Eigeneinkommens der
berechtigten Person im maßgeblichen Zeitpunkt erloschen war
(</w:t>
            </w:r>
            <w:r>
              <w:rPr>
                <w:rFonts w:ascii="Arial" w:hAnsi="Arial" w:eastAsia="Arial" w:cs="Arial"/>
                <w:i/>
                <w:iCs/>
                <w:color w:val="000000"/>
                <w:position w:val="0"/>
                <w:sz w:val="20"/>
                <w:szCs w:val="20"/>
              </w:rPr>
              <w:t xml:space="preserve">Neumayr</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Handbuch
Familienrecht, 2020, 1028). Dementsprechend besteht nach der Rsp
dann kein Anspruch auf Witwen-/Witwerpension, wenn der
Unterhaltsanspruch im Todeszeitpunkt ruhte, etwa wegen einer
aufrechten Lebensgemeinschaft der unterhaltsberechtigten Person
(RIS-Justiz RS 0128473).</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Witwen/Witwerpension gebührt zudem
nur sofern und solange die Frau (der Mann) nicht eine neue Ehe
geschlossen hat (§ 258 Abs 4 ASVG).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903453" w:name="note5"/>
            <w:bookmarkEnd w:id="10903453"/>
            <w:bookmarkStart w:id="6884080729629" w:name="note5"/>
            <w:r>
              <w:rPr>
                <w:rFonts w:ascii="Arial" w:hAnsi="Arial" w:eastAsia="Arial" w:cs="Arial"/>
                <w:b/>
                <w:bCs/>
                <w:color w:val="000000"/>
                <w:position w:val="0"/>
                <w:sz w:val="20"/>
                <w:szCs w:val="20"/>
              </w:rPr>
              <w:t xml:space="preserve">[5]</w:t>
            </w:r>
            <w:bookmarkEnd w:id="688408072962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Unterhalt ist grundsätzlich durch Zahlung einer monatlich im
Voraus zu entrichtenden </w:t>
            </w:r>
            <w:r>
              <w:rPr>
                <w:rFonts w:ascii="Arial" w:hAnsi="Arial" w:eastAsia="Arial" w:cs="Arial"/>
                <w:b/>
                <w:bCs/>
                <w:color w:val="000000"/>
                <w:position w:val="0"/>
                <w:sz w:val="20"/>
                <w:szCs w:val="20"/>
              </w:rPr>
              <w:t xml:space="preserve">Geldrente</w:t>
            </w:r>
            <w:r>
              <w:rPr>
                <w:rFonts w:ascii="Arial" w:hAnsi="Arial" w:eastAsia="Arial" w:cs="Arial"/>
                <w:color w:val="000000"/>
                <w:position w:val="0"/>
                <w:sz w:val="20"/>
                <w:szCs w:val="20"/>
              </w:rPr>
              <w:t xml:space="preserve"> zu gewähren
(§ 70 Abs 1 EheG).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2853629" w:name="note6"/>
            <w:bookmarkEnd w:id="92853629"/>
            <w:bookmarkStart w:id="118759125027" w:name="note6"/>
            <w:r>
              <w:rPr>
                <w:rFonts w:ascii="Arial" w:hAnsi="Arial" w:eastAsia="Arial" w:cs="Arial"/>
                <w:b/>
                <w:bCs/>
                <w:color w:val="000000"/>
                <w:position w:val="0"/>
                <w:sz w:val="20"/>
                <w:szCs w:val="20"/>
              </w:rPr>
              <w:t xml:space="preserve">[6]</w:t>
            </w:r>
            <w:bookmarkEnd w:id="118759125027"/>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 1480 ABGB
</w:t>
            </w:r>
            <w:r>
              <w:rPr>
                <w:rFonts w:ascii="Arial" w:hAnsi="Arial" w:eastAsia="Arial" w:cs="Arial"/>
                <w:b/>
                <w:bCs/>
                <w:color w:val="000000"/>
                <w:position w:val="0"/>
                <w:sz w:val="20"/>
                <w:szCs w:val="20"/>
              </w:rPr>
              <w:t xml:space="preserve">verjähren</w:t>
            </w:r>
            <w:r>
              <w:rPr>
                <w:rFonts w:ascii="Arial" w:hAnsi="Arial" w:eastAsia="Arial" w:cs="Arial"/>
                <w:color w:val="000000"/>
                <w:position w:val="0"/>
                <w:sz w:val="20"/>
                <w:szCs w:val="20"/>
              </w:rPr>
              <w:t xml:space="preserve"> Forderungen von rückständigen jährlichen
Leistungen, zu denen insbesondere rückständige Unterhaltsbeiträge
zählen, in drei Jahren (RIS-Justiz RS0034969).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Für die
</w:t>
            </w:r>
            <w:r>
              <w:rPr>
                <w:rFonts w:ascii="Arial" w:hAnsi="Arial" w:eastAsia="Arial" w:cs="Arial"/>
                <w:b/>
                <w:bCs/>
                <w:color w:val="000000"/>
                <w:position w:val="0"/>
                <w:sz w:val="20"/>
                <w:szCs w:val="20"/>
              </w:rPr>
              <w:t xml:space="preserve">Vergangenheit</w:t>
            </w:r>
            <w:r>
              <w:rPr>
                <w:rFonts w:ascii="Arial" w:hAnsi="Arial" w:eastAsia="Arial" w:cs="Arial"/>
                <w:color w:val="000000"/>
                <w:position w:val="0"/>
                <w:sz w:val="20"/>
                <w:szCs w:val="20"/>
              </w:rPr>
              <w:t xml:space="preserve"> kann der Berechtigte Erfüllung oder
Schadenersatz wegen Nichterfüllung erst von der Zeit an fordern, in
der der Unterhaltspflichtige in </w:t>
            </w:r>
            <w:r>
              <w:rPr>
                <w:rFonts w:ascii="Arial" w:hAnsi="Arial" w:eastAsia="Arial" w:cs="Arial"/>
                <w:b/>
                <w:bCs/>
                <w:color w:val="000000"/>
                <w:position w:val="0"/>
                <w:sz w:val="20"/>
                <w:szCs w:val="20"/>
              </w:rPr>
              <w:t xml:space="preserve">Verzug</w:t>
            </w:r>
            <w:r>
              <w:rPr>
                <w:rFonts w:ascii="Arial" w:hAnsi="Arial" w:eastAsia="Arial" w:cs="Arial"/>
                <w:color w:val="000000"/>
                <w:position w:val="0"/>
                <w:sz w:val="20"/>
                <w:szCs w:val="20"/>
              </w:rPr>
              <w:t xml:space="preserve"> gekommen
oder der Unterhaltsanspruch </w:t>
            </w:r>
            <w:r>
              <w:rPr>
                <w:rFonts w:ascii="Arial" w:hAnsi="Arial" w:eastAsia="Arial" w:cs="Arial"/>
                <w:b/>
                <w:bCs/>
                <w:color w:val="000000"/>
                <w:position w:val="0"/>
                <w:sz w:val="20"/>
                <w:szCs w:val="20"/>
              </w:rPr>
              <w:t xml:space="preserve">rechtshängig</w:t>
            </w:r>
            <w:r>
              <w:rPr>
                <w:rFonts w:ascii="Arial" w:hAnsi="Arial" w:eastAsia="Arial" w:cs="Arial"/>
                <w:color w:val="000000"/>
                <w:position w:val="0"/>
                <w:sz w:val="20"/>
                <w:szCs w:val="20"/>
              </w:rPr>
              <w:t xml:space="preserve"> geworden
ist (</w:t>
            </w:r>
            <w:r>
              <w:rPr>
                <w:rFonts w:ascii="Arial" w:hAnsi="Arial" w:eastAsia="Arial" w:cs="Arial"/>
                <w:b/>
                <w:bCs/>
                <w:color w:val="000000"/>
                <w:position w:val="0"/>
                <w:sz w:val="20"/>
                <w:szCs w:val="20"/>
              </w:rPr>
              <w:t xml:space="preserve">§ 72 EheG</w:t>
            </w:r>
            <w:r>
              <w:rPr>
                <w:rFonts w:ascii="Arial" w:hAnsi="Arial" w:eastAsia="Arial" w:cs="Arial"/>
                <w:color w:val="000000"/>
                <w:position w:val="0"/>
                <w:sz w:val="20"/>
                <w:szCs w:val="20"/>
              </w:rPr>
              <w:t xml:space="preserve">).</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Das Begehren eines geschiedenen
Ehegatten auf Bezahlung von Unterhalt für die Vergangenheit (ein
Jahr vor Rechtsanhängigkeit) setzt somit gem § 72 EheG einen
Verzug des Unterhaltspflichtigen voraus (RIS-Justiz RS0106452).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Achtung: Der Verzug des
Unterhaltspflichtigen ist Anspruchsvoraussetzung des Unterhaltes
für die Vergangenheit. Bei Einforderung eines Unterhaltsrückstandes
wird Verzug des Unterhaltspflichtigen vorausgesetzt; dazu bedarf es
zumindest einer durch eine außergerichtliche, inhaltlich bestimmte
Mahnung erfolgten Zahlungsaufforderung an den Unterhaltspflichtigen
((RIS-Justiz RS0057365). Der Unterhaltsberechtigte hat den
eingetretenen Verzug zu behaupten und zu beweisen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Unterhaltsrecht</w:t>
            </w:r>
            <w:r>
              <w:rPr>
                <w:rFonts w:ascii="Arial" w:hAnsi="Arial" w:eastAsia="Arial" w:cs="Arial"/>
                <w:color w:val="000000"/>
                <w:position w:val="3"/>
                <w:sz w:val="18"/>
                <w:szCs w:val="18"/>
                <w:vertAlign w:val="superscript"/>
              </w:rPr>
              <w:t xml:space="preserve">3</w:t>
            </w:r>
            <w:r>
              <w:rPr>
                <w:rFonts w:ascii="Arial" w:hAnsi="Arial" w:eastAsia="Arial" w:cs="Arial"/>
                <w:color w:val="000000"/>
                <w:position w:val="0"/>
                <w:sz w:val="20"/>
                <w:szCs w:val="20"/>
              </w:rPr>
              <w:t xml:space="preserve">, Rz 1566
mwN).</w:t>
            </w:r>
          </w:p>
          <w:p>
            <w:pPr>
              <w:widowControl w:val="on"/>
              <w:pBdr/>
              <w:spacing w:before="0" w:after="0" w:line="288" w:lineRule="auto"/>
              <w:ind w:left="0" w:right="0"/>
              <w:jc w:val="left"/>
              <w:textAlignment w:val="top"/>
            </w:pPr>
            <w:r>
              <w:rPr>
                <w:rFonts w:ascii="Arial" w:hAnsi="Arial" w:eastAsia="Arial" w:cs="Arial"/>
                <w:b/>
                <w:bCs/>
                <w:color w:val="277DB9"/>
                <w:position w:val="0"/>
                <w:sz w:val="25"/>
                <w:szCs w:val="25"/>
              </w:rPr>
              <w:t xml:space="preserve">Achtung:</w:t>
            </w:r>
          </w:p>
          <w:p>
            <w:pPr>
              <w:widowControl w:val="on"/>
              <w:pBdr/>
              <w:spacing w:before="0" w:after="0" w:line="288" w:lineRule="auto"/>
              <w:ind w:left="0" w:right="0"/>
              <w:jc w:val="both"/>
              <w:textAlignment w:val="top"/>
            </w:pPr>
            <w:r>
              <w:rPr>
                <w:rFonts w:ascii="Arial" w:hAnsi="Arial" w:eastAsia="Arial" w:cs="Arial"/>
                <w:color w:val="277DB9"/>
                <w:position w:val="0"/>
                <w:sz w:val="20"/>
                <w:szCs w:val="20"/>
              </w:rPr>
              <w:t xml:space="preserve">Ohne Verzug kann Unterhalt erst ab
Rechtshängigkeit gefordert werden (10 Ob 1/23d).</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Bei einer am Sinn und Zweck der
Regelung des § 72 EheG orientierten Auslegung kann der
Unterhalt geschiedener Ehegatten aber bereits ab dem Zeitpunkt
gefordert werden, zu dem der Unterhaltsberechtigte den
Unterhaltspflichtigen berechtigterweise zur Auskunftserteilung zum
Zwecke der Geltendmachung des Unterhaltsanspruchs aufgefordert hat,
diese Aufforderung zur Auskunftserteilung kommt in ihren Wirkungen
dem durch eine Mahnung eingetretenen Verzug gleich (7 Ob 198/19x
Zak 2020/212). Der Unterhaltsschuldner muss von diesem Zeitpunkt an
in gleicher Weise wie bei einer Mahnung damit rechnen, dass er auf
Unterhalt in Anspruch genommen wird und er gegebenenfalls
entsprechende Rücklagen bilden muss; er kann aber nach Treu und
Glauben keine Vorteile daraus ziehen, dass der
Unterhaltsberechtigte ohne Auskunft den Unterhaltsanspruch nicht
beziffern kann (RIS-Justiz RS0122059).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Erforderlich ist dabei aber auch ein
</w:t>
            </w:r>
            <w:r>
              <w:rPr>
                <w:rFonts w:ascii="Arial" w:hAnsi="Arial" w:eastAsia="Arial" w:cs="Arial"/>
                <w:b/>
                <w:bCs/>
                <w:color w:val="000000"/>
                <w:position w:val="0"/>
                <w:sz w:val="20"/>
                <w:szCs w:val="20"/>
              </w:rPr>
              <w:t xml:space="preserve">zeitlicher Konnex</w:t>
            </w:r>
            <w:r>
              <w:rPr>
                <w:rFonts w:ascii="Arial" w:hAnsi="Arial" w:eastAsia="Arial" w:cs="Arial"/>
                <w:color w:val="000000"/>
                <w:position w:val="0"/>
                <w:sz w:val="20"/>
                <w:szCs w:val="20"/>
              </w:rPr>
              <w:t xml:space="preserve"> zwischen Mahnung bzw
Aufforderung und Klagsanspruch (2 Ob 17/10d; 5 Ob 113/17d). Soweit
also in der Judikatur ein zeitlicher Konnex zwischen Aufforderung
zur Auskunftserteilung und Klagsanspruch als erforderlich gesehen
wird, bezieht sich dies mE ausschließlich darauf, dass sich der
eingemahnte und der eingeklagte Zeitraum für den bestehenden
Unterhaltsrückstand grundsätzlich decken sollen. Wird bspw mit
einem Schreiben aus April 2022 die unterhaltspflichtige Person in
Verzug gesetzt und in weiterer Folge Unterhalt ab März 2022
begehrt, beginnt der eingeklagte Zeitraum annähernd mit dem Datum
der Mahnung (10 Ob 1/23d), was idS ausreichend ist.</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Beachte:</w:t>
            </w:r>
            <w:r>
              <w:rPr>
                <w:rFonts w:ascii="Arial" w:hAnsi="Arial" w:eastAsia="Arial" w:cs="Arial"/>
                <w:color w:val="000000"/>
                <w:position w:val="0"/>
                <w:sz w:val="20"/>
                <w:szCs w:val="20"/>
              </w:rPr>
              <w:t xml:space="preserve"> Auch ein
gem § 69 Abs 2 EheG geschuldeter Unterhalt unterliegt der
Regelung nach § 72 EheG (RIS-Justiz RS0057266).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3066408" w:name="note7"/>
            <w:bookmarkEnd w:id="53066408"/>
            <w:bookmarkStart w:id="2379084812965" w:name="note7"/>
            <w:r>
              <w:rPr>
                <w:rFonts w:ascii="Arial" w:hAnsi="Arial" w:eastAsia="Arial" w:cs="Arial"/>
                <w:b/>
                <w:bCs/>
                <w:color w:val="000000"/>
                <w:position w:val="0"/>
                <w:sz w:val="20"/>
                <w:szCs w:val="20"/>
              </w:rPr>
              <w:t xml:space="preserve">[7]</w:t>
            </w:r>
            <w:bookmarkEnd w:id="2379084812965"/>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Grundsätzlich kann eine
Neufestsetzung des Unterhaltes nur bei geänderter Sachlage oder bei
Änderung der dem Unterhaltsanspruch zugrundeliegenden
Gesetzesregelungen erfolgen (RIS-Justiz RS0047398). Eine
</w:t>
            </w:r>
            <w:r>
              <w:rPr>
                <w:rFonts w:ascii="Arial" w:hAnsi="Arial" w:eastAsia="Arial" w:cs="Arial"/>
                <w:b/>
                <w:bCs/>
                <w:color w:val="000000"/>
                <w:position w:val="0"/>
                <w:sz w:val="20"/>
                <w:szCs w:val="20"/>
              </w:rPr>
              <w:t xml:space="preserve">Neufestsetzung des Unterhaltes</w:t>
            </w:r>
            <w:r>
              <w:rPr>
                <w:rFonts w:ascii="Arial" w:hAnsi="Arial" w:eastAsia="Arial" w:cs="Arial"/>
                <w:color w:val="000000"/>
                <w:position w:val="0"/>
                <w:sz w:val="20"/>
                <w:szCs w:val="20"/>
              </w:rPr>
              <w:t xml:space="preserve"> kann also
rückwirkend ab dem Zeitpunkt erfolgen, in dem eine
</w:t>
            </w:r>
            <w:r>
              <w:rPr>
                <w:rFonts w:ascii="Arial" w:hAnsi="Arial" w:eastAsia="Arial" w:cs="Arial"/>
                <w:b/>
                <w:bCs/>
                <w:color w:val="000000"/>
                <w:position w:val="0"/>
                <w:sz w:val="20"/>
                <w:szCs w:val="20"/>
              </w:rPr>
              <w:t xml:space="preserve">wesentliche Sachverhaltsänderung</w:t>
            </w:r>
            <w:r>
              <w:rPr>
                <w:rFonts w:ascii="Arial" w:hAnsi="Arial" w:eastAsia="Arial" w:cs="Arial"/>
                <w:color w:val="000000"/>
                <w:position w:val="0"/>
                <w:sz w:val="20"/>
                <w:szCs w:val="20"/>
              </w:rPr>
              <w:t xml:space="preserve"> eingetreten ist
(</w:t>
            </w:r>
            <w:r>
              <w:rPr>
                <w:rFonts w:ascii="Arial" w:hAnsi="Arial" w:eastAsia="Arial" w:cs="Arial"/>
                <w:i/>
                <w:iCs/>
                <w:color w:val="000000"/>
                <w:position w:val="0"/>
                <w:sz w:val="20"/>
                <w:szCs w:val="20"/>
              </w:rPr>
              <w:t xml:space="preserve">Schwimann/Kolmasch</w:t>
            </w:r>
            <w:r>
              <w:rPr>
                <w:rFonts w:ascii="Arial" w:hAnsi="Arial" w:eastAsia="Arial" w:cs="Arial"/>
                <w:color w:val="000000"/>
                <w:position w:val="0"/>
                <w:sz w:val="20"/>
                <w:szCs w:val="20"/>
              </w:rPr>
              <w:t xml:space="preserve">, Unterhaltsrecht, 2022, 162).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Eine relevante Umstandsänderung
wurde von der Rsp bspw bei einem </w:t>
            </w:r>
            <w:r>
              <w:rPr>
                <w:rFonts w:ascii="Arial" w:hAnsi="Arial" w:eastAsia="Arial" w:cs="Arial"/>
                <w:b/>
                <w:bCs/>
                <w:color w:val="000000"/>
                <w:position w:val="0"/>
                <w:sz w:val="20"/>
                <w:szCs w:val="20"/>
              </w:rPr>
              <w:t xml:space="preserve">Anstieg des
Einkommens</w:t>
            </w:r>
            <w:r>
              <w:rPr>
                <w:rFonts w:ascii="Arial" w:hAnsi="Arial" w:eastAsia="Arial" w:cs="Arial"/>
                <w:color w:val="000000"/>
                <w:position w:val="0"/>
                <w:sz w:val="20"/>
                <w:szCs w:val="20"/>
              </w:rPr>
              <w:t xml:space="preserve"> um mehr als 8 % bis 10 % (8 Ob 75/10b
Zak 2010/598) bejaht.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3488709" w:name="note8"/>
            <w:bookmarkEnd w:id="83488709"/>
            <w:bookmarkStart w:id="9263655323321" w:name="note8"/>
            <w:r>
              <w:rPr>
                <w:rFonts w:ascii="Arial" w:hAnsi="Arial" w:eastAsia="Arial" w:cs="Arial"/>
                <w:b/>
                <w:bCs/>
                <w:color w:val="000000"/>
                <w:position w:val="0"/>
                <w:sz w:val="20"/>
                <w:szCs w:val="20"/>
              </w:rPr>
              <w:t xml:space="preserve">[8]</w:t>
            </w:r>
            <w:bookmarkEnd w:id="9263655323321"/>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Den Unterhaltsschuldner trifft nun
grundsätzlich eine </w:t>
            </w:r>
            <w:r>
              <w:rPr>
                <w:rFonts w:ascii="Arial" w:hAnsi="Arial" w:eastAsia="Arial" w:cs="Arial"/>
                <w:b/>
                <w:bCs/>
                <w:color w:val="000000"/>
                <w:position w:val="0"/>
                <w:sz w:val="20"/>
                <w:szCs w:val="20"/>
              </w:rPr>
              <w:t xml:space="preserve">Verpflichtung zur Mitwirkung bei der
Ermittlung der Unterhaltsbemessungsgrundlage</w:t>
            </w:r>
            <w:r>
              <w:rPr>
                <w:rFonts w:ascii="Arial" w:hAnsi="Arial" w:eastAsia="Arial" w:cs="Arial"/>
                <w:color w:val="000000"/>
                <w:position w:val="0"/>
                <w:sz w:val="20"/>
                <w:szCs w:val="20"/>
              </w:rPr>
              <w:t xml:space="preserve"> (vgl EFSlg
110.117; EFSlg 82.474).</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In der Rsp ist sohin anerkannt, dass
sowohl für die Geltendmachung als auch für die Abwehr von
Unterhaltsansprüchen auch zwischen geschiedenen Ehegatten
wechselseitige Auskunfts- und Rechnungslegungsansprüche über alle
unterhaltsrelevanten Umstände bestehen (vgl RIS-Justiz RS0122058;
RS0122059).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 Ehegatte, der dem anderen
Ehegatten Bestandteile seines Einkommens verschweigt, handelt
pflichtwidrig. Diese wechselseitigen Informationspflichten wirken
auch noch nach der Eheauflösung aufgrund des nachehelichen
Abwicklungsinteresses weiter fort (10 Ob 47/07w; vgl dazu auch 4 Ob
175/07z).</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diesen Grundsätzen ist der
Unterhaltsberechtigte im Allgemeinen dazu verpflichtet, dem
Unterhaltspflichtigen wesentliche Änderungen, die den
Unterhaltsanspruch dem Grunde oder der Höhe nach betreffen, aus
Eigenem mitzuteilen (4 Ob 15/19p EF‑Z 2019/127).</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Verjährung eines
Schadenersatzanspruchs richtet sich aber letztlich nach § 1489
ABGB: Danach ist jede Entschädigungsklage in drei Jahren von der
Zeit an verjährt, zu welcher der Schaden und die Person des
Schädigers dem Geschädigten bekannt wurden. Zum Vorliegen eines
Schadens wird auch eine Erkundigungsobliegenheit des Geschädigten
angenommen, die allerdings nicht überspannt werden darf (RIS-Justiz
RS0113916; RS0034327). Nur dann, wenn der Geschädigte die für die
erfolgversprechende Anspruchsverfolgung notwendigen Voraussetzungen
ohne nennenswerte Mühe in Erfahrung bringen kann, gilt die
Kenntnisnahme schon als in dem Zeitpunkt erlangt, in dem sie dem
Geschädigten bei angemessener Erkundigung zuteil geworden wäre. Bei
der Frage des Ausmaßes der Erkundigungspflicht des Geschädigten
über den die Verjährungsfrist auslösenden Sachverhalt kommt es auf
die Umstände des Einzelfalls an (RIS-Justiz RS0113916).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7735747" w:name="note9"/>
            <w:bookmarkEnd w:id="97735747"/>
            <w:bookmarkStart w:id="2681710837461" w:name="note9"/>
            <w:r>
              <w:rPr>
                <w:rFonts w:ascii="Arial" w:hAnsi="Arial" w:eastAsia="Arial" w:cs="Arial"/>
                <w:b/>
                <w:bCs/>
                <w:color w:val="000000"/>
                <w:position w:val="0"/>
                <w:sz w:val="20"/>
                <w:szCs w:val="20"/>
              </w:rPr>
              <w:t xml:space="preserve">[9]</w:t>
            </w:r>
            <w:bookmarkEnd w:id="2681710837461"/>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Art XLII Abs 1
EGZPO</w:t>
            </w:r>
            <w:r>
              <w:rPr>
                <w:rFonts w:ascii="Arial" w:hAnsi="Arial" w:eastAsia="Arial" w:cs="Arial"/>
                <w:color w:val="000000"/>
                <w:position w:val="0"/>
                <w:sz w:val="20"/>
                <w:szCs w:val="20"/>
              </w:rPr>
              <w:t xml:space="preserve"> kann nun, wer nach den Vorschriften des bürgerlichen
Rechtes ein Vermögen oder Schulden anzugeben verpflichtet ist,
mittels Urteiles dazu verhalten werden, allenfalls unter Vorlage
eines Verzeichnisses des Vermögens oder der Schulden anzugeben, was
ihm von diesem Vermögen, von den Schulden oder von der
Verschweigung oder Verheimlichung des Vermögens bekannt ist, und
einen Eid dahin zu leisten, dass seine Angaben richtig und
vollständig sind. Zu einer diesbezüglichen Klage ist befugt, wer
ein privatrechtliches Interesse an der Ermittlung des Vermögens
oder des Schuldenstandes hat (</w:t>
            </w:r>
            <w:r>
              <w:rPr>
                <w:rFonts w:ascii="Arial" w:hAnsi="Arial" w:eastAsia="Arial" w:cs="Arial"/>
                <w:b/>
                <w:bCs/>
                <w:color w:val="000000"/>
                <w:position w:val="0"/>
                <w:sz w:val="20"/>
                <w:szCs w:val="20"/>
              </w:rPr>
              <w:t xml:space="preserve">Art XLII Abs 2
EGZPO</w:t>
            </w:r>
            <w:r>
              <w:rPr>
                <w:rFonts w:ascii="Arial" w:hAnsi="Arial" w:eastAsia="Arial" w:cs="Arial"/>
                <w:color w:val="000000"/>
                <w:position w:val="0"/>
                <w:sz w:val="20"/>
                <w:szCs w:val="20"/>
              </w:rPr>
              <w:t xml:space="preserve">). In diesem Zusammenhang ist nun Folgendes zu
unterscheiden: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Anspruch gemäß
</w:t>
            </w:r>
            <w:r>
              <w:rPr>
                <w:rFonts w:ascii="Arial" w:hAnsi="Arial" w:eastAsia="Arial" w:cs="Arial"/>
                <w:b/>
                <w:bCs/>
                <w:color w:val="000000"/>
                <w:position w:val="0"/>
                <w:sz w:val="20"/>
                <w:szCs w:val="20"/>
              </w:rPr>
              <w:t xml:space="preserve">Art XLII Abs 1 erster Fall EGZPO</w:t>
            </w:r>
            <w:r>
              <w:rPr>
                <w:rFonts w:ascii="Arial" w:hAnsi="Arial" w:eastAsia="Arial" w:cs="Arial"/>
                <w:color w:val="000000"/>
                <w:position w:val="0"/>
                <w:sz w:val="20"/>
                <w:szCs w:val="20"/>
              </w:rPr>
              <w:t xml:space="preserve"> steht
jedem zu, der gegen einen ihm aus materiell-rechtlichen Gründen zur
Auskunftserteilung Verpflichteten ein bestimmtes Klagebegehren auf
Leistung nur mit erheblichen Schwierigkeiten, die durch eine solche
Abrechnung beseitigt werden können, zu erheben vermag, wenn dem
Verpflichteten die Auskunftserteilung nach redlicher Verkehrsübung
zumutbar ist (RIS-Justiz RS0106851; 2 Ob 142/19z). Dieser erste
Fall nach Art XLII EGZPO betrifft das
</w:t>
            </w:r>
            <w:r>
              <w:rPr>
                <w:rFonts w:ascii="Arial" w:hAnsi="Arial" w:eastAsia="Arial" w:cs="Arial"/>
                <w:b/>
                <w:bCs/>
                <w:color w:val="000000"/>
                <w:position w:val="0"/>
                <w:sz w:val="20"/>
                <w:szCs w:val="20"/>
              </w:rPr>
              <w:t xml:space="preserve">Rechnungslegungsbegehren</w:t>
            </w:r>
            <w:r>
              <w:rPr>
                <w:rFonts w:ascii="Arial" w:hAnsi="Arial" w:eastAsia="Arial" w:cs="Arial"/>
                <w:color w:val="000000"/>
                <w:position w:val="0"/>
                <w:sz w:val="20"/>
                <w:szCs w:val="20"/>
              </w:rPr>
              <w:t xml:space="preserve">. Diese Bestimmung schafft
keine eigene zivilrechtliche Verpflichtung, sondern setzt voraus,
dass eine solche schon nach bürgerlichem Recht besteht (RIS-Justiz
RS0034986; 2 Ob 136/22x).</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Unterschied dazu normiert
</w:t>
            </w:r>
            <w:r>
              <w:rPr>
                <w:rFonts w:ascii="Arial" w:hAnsi="Arial" w:eastAsia="Arial" w:cs="Arial"/>
                <w:b/>
                <w:bCs/>
                <w:color w:val="000000"/>
                <w:position w:val="0"/>
                <w:sz w:val="20"/>
                <w:szCs w:val="20"/>
              </w:rPr>
              <w:t xml:space="preserve">Art XLII Abs 1 zweiter Fall EGZPO</w:t>
            </w:r>
            <w:r>
              <w:rPr>
                <w:rFonts w:ascii="Arial" w:hAnsi="Arial" w:eastAsia="Arial" w:cs="Arial"/>
                <w:color w:val="000000"/>
                <w:position w:val="0"/>
                <w:sz w:val="20"/>
                <w:szCs w:val="20"/>
              </w:rPr>
              <w:t xml:space="preserve"> einen
eigenen privatrechtlichen </w:t>
            </w:r>
            <w:r>
              <w:rPr>
                <w:rFonts w:ascii="Arial" w:hAnsi="Arial" w:eastAsia="Arial" w:cs="Arial"/>
                <w:b/>
                <w:bCs/>
                <w:color w:val="000000"/>
                <w:position w:val="0"/>
                <w:sz w:val="20"/>
                <w:szCs w:val="20"/>
              </w:rPr>
              <w:t xml:space="preserve">Anspruch auf Angabe eines
Vermögens und einer Eidesleistung</w:t>
            </w:r>
            <w:r>
              <w:rPr>
                <w:rFonts w:ascii="Arial" w:hAnsi="Arial" w:eastAsia="Arial" w:cs="Arial"/>
                <w:color w:val="000000"/>
                <w:position w:val="0"/>
                <w:sz w:val="20"/>
                <w:szCs w:val="20"/>
              </w:rPr>
              <w:t xml:space="preserve"> (RIS-Justiz RS0034834).
Voraussetzung dafür ist, dass der Beklagte von der Verschweigung
oder Verheimlichung eines anzugebenden Vermögens vermutlich
Kenntnis hat (RIS-Justiz RS0034823). Der zweite Tatbestand des
Art XLII Abs 1 EGZPO ist also eine eigene Norm des
materiellen Rechtes, die bei Vorliegen ihrer Voraussetzungen auch
ohne sonstige rechtliche Verpflichtung zur Vermögensabgabe und
Eidesleistung zwingt (RIS-Justiz RS0034834). Es handelt sich dabei
also um eine Vorschrift des materiellen Rechts, die bei Erfüllung
von deren Voraussetzungen auch ohne eine sonstige Rechtspflicht die
Vermögensangabe anordnet, wenn der Kläger durch die Verheimlichung
oder Verschweigung eines Vermögens in seinen aus dem Gesetz oder
einer Vereinbarung abgeleiteten privatrechtlichen Interessen
beeinträchtigt wird (3 Ob 141/22i ZVR 2023/54). Im zweiten Fall des
Art XLII Abs 1 EGZPO setzt die Klagslegitimation sohin
voraus, dass der Kläger selbst durch die Verheimlichung oder
Verschweigung des Vermögens unmittelbar in seinen aus dem Gesetz
oder einer Vereinbarung abgeleiteten Privatrechten beeinträchtigt
wird (2 Ob 105/15b iFamZ 2016/167; 4 Ob 2376/96g; RIS-Justiz
RS0034852).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Während nun nach älterer Rsp die
</w:t>
            </w:r>
            <w:r>
              <w:rPr>
                <w:rFonts w:ascii="Arial" w:hAnsi="Arial" w:eastAsia="Arial" w:cs="Arial"/>
                <w:b/>
                <w:bCs/>
                <w:color w:val="000000"/>
                <w:position w:val="0"/>
                <w:sz w:val="20"/>
                <w:szCs w:val="20"/>
              </w:rPr>
              <w:t xml:space="preserve">Unterhaltsleistungsverpflichtung</w:t>
            </w:r>
            <w:r>
              <w:rPr>
                <w:rFonts w:ascii="Arial" w:hAnsi="Arial" w:eastAsia="Arial" w:cs="Arial"/>
                <w:color w:val="000000"/>
                <w:position w:val="0"/>
                <w:sz w:val="20"/>
                <w:szCs w:val="20"/>
              </w:rPr>
              <w:t xml:space="preserve"> keine
Rechnungslegungspflicht oder Eidespflicht begründete, wird von der
jüngeren Judikatur eine solche zur Durchsetzung von
Unterhaltsansprüchen im streitigen Verfahren als zulässig erachtet
(8 Ob 98/19y EvBl 2020/74 = EF-Z 2020/37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RIS-Justiz RS0035020; RIS-Justiz RS0119467), da es dem
Unterhaltsberechtigten nicht zugemutet werden kann, gewissermaßen
„ins Blaue zu klagen“, also irgendeine Einkommenshöhe, die am
wahrscheinlichsten erscheine, zu behaupten und dem
Unterhaltsbegehren zugrunde zu legen (7 Ob 123/13h). Die
Stufenklage nach Art XLII EGZPO ist somit bei
</w:t>
            </w:r>
            <w:r>
              <w:rPr>
                <w:rFonts w:ascii="Arial" w:hAnsi="Arial" w:eastAsia="Arial" w:cs="Arial"/>
                <w:b/>
                <w:bCs/>
                <w:color w:val="000000"/>
                <w:position w:val="0"/>
                <w:sz w:val="20"/>
                <w:szCs w:val="20"/>
              </w:rPr>
              <w:t xml:space="preserve">gesetzlichen</w:t>
            </w:r>
            <w:r>
              <w:rPr>
                <w:rFonts w:ascii="Arial" w:hAnsi="Arial" w:eastAsia="Arial" w:cs="Arial"/>
                <w:color w:val="000000"/>
                <w:position w:val="0"/>
                <w:sz w:val="20"/>
                <w:szCs w:val="20"/>
              </w:rPr>
              <w:t xml:space="preserve"> und auch
</w:t>
            </w:r>
            <w:r>
              <w:rPr>
                <w:rFonts w:ascii="Arial" w:hAnsi="Arial" w:eastAsia="Arial" w:cs="Arial"/>
                <w:b/>
                <w:bCs/>
                <w:color w:val="000000"/>
                <w:position w:val="0"/>
                <w:sz w:val="20"/>
                <w:szCs w:val="20"/>
              </w:rPr>
              <w:t xml:space="preserve">vertraglichen</w:t>
            </w:r>
            <w:r>
              <w:rPr>
                <w:rFonts w:ascii="Arial" w:hAnsi="Arial" w:eastAsia="Arial" w:cs="Arial"/>
                <w:color w:val="000000"/>
                <w:position w:val="0"/>
                <w:sz w:val="20"/>
                <w:szCs w:val="20"/>
              </w:rPr>
              <w:t xml:space="preserve"> (vgl 6 Ob 255/04z = JBl 2005, 455;
SZ 35/14; 2 Ob 217/04g) </w:t>
            </w:r>
            <w:r>
              <w:rPr>
                <w:rFonts w:ascii="Arial" w:hAnsi="Arial" w:eastAsia="Arial" w:cs="Arial"/>
                <w:b/>
                <w:bCs/>
                <w:color w:val="000000"/>
                <w:position w:val="0"/>
                <w:sz w:val="20"/>
                <w:szCs w:val="20"/>
              </w:rPr>
              <w:t xml:space="preserve">Unterhaltsansprüchen</w:t>
            </w:r>
            <w:r>
              <w:rPr>
                <w:rFonts w:ascii="Arial" w:hAnsi="Arial" w:eastAsia="Arial" w:cs="Arial"/>
                <w:b/>
                <w:bCs/>
                <w:color w:val="000000"/>
                <w:position w:val="0"/>
                <w:sz w:val="20"/>
                <w:szCs w:val="20"/>
              </w:rPr>
              <w:t xml:space="preserve">zwischen</w:t>
            </w:r>
            <w:r>
              <w:rPr>
                <w:rFonts w:ascii="Arial" w:hAnsi="Arial" w:eastAsia="Arial" w:cs="Arial"/>
                <w:color w:val="000000"/>
                <w:position w:val="0"/>
                <w:sz w:val="20"/>
                <w:szCs w:val="20"/>
              </w:rPr>
              <w:t xml:space="preserve"> </w:t>
            </w:r>
            <w:r>
              <w:rPr>
                <w:rFonts w:ascii="Arial" w:hAnsi="Arial" w:eastAsia="Arial" w:cs="Arial"/>
                <w:b/>
                <w:bCs/>
                <w:color w:val="000000"/>
                <w:position w:val="0"/>
                <w:sz w:val="20"/>
                <w:szCs w:val="20"/>
              </w:rPr>
              <w:t xml:space="preserve">Ehegatten und vormaligen
Ehegatten</w:t>
            </w:r>
            <w:r>
              <w:rPr>
                <w:rFonts w:ascii="Arial" w:hAnsi="Arial" w:eastAsia="Arial" w:cs="Arial"/>
                <w:color w:val="000000"/>
                <w:position w:val="0"/>
                <w:sz w:val="20"/>
                <w:szCs w:val="20"/>
              </w:rPr>
              <w:t xml:space="preserve"> zulässig (10 Ob 47/07w; RIS-Justiz RS0035020;
RIS-Justiz RS0122058). Auch zwischen geschiedenen Ehegatten besteht
nach diesbezüglich eindeutiger hRsp nun also jedenfalls ein
Anspruch auf Auskunft und Rechnungslegung betreffend die für die
Unterhaltsbemessung maßgebenden Umstände (10 Ob 47/07w = iFamZ
2007/129 = EFSlg 117.909).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jüngerer Rsp kann auch das
Rechnungslegungsbegehren mit einem </w:t>
            </w:r>
            <w:r>
              <w:rPr>
                <w:rFonts w:ascii="Arial" w:hAnsi="Arial" w:eastAsia="Arial" w:cs="Arial"/>
                <w:b/>
                <w:bCs/>
                <w:color w:val="000000"/>
                <w:position w:val="0"/>
                <w:sz w:val="20"/>
                <w:szCs w:val="20"/>
              </w:rPr>
              <w:t xml:space="preserve">Begehren auf
Eidesleistung</w:t>
            </w:r>
            <w:r>
              <w:rPr>
                <w:rFonts w:ascii="Arial" w:hAnsi="Arial" w:eastAsia="Arial" w:cs="Arial"/>
                <w:color w:val="000000"/>
                <w:position w:val="0"/>
                <w:sz w:val="20"/>
                <w:szCs w:val="20"/>
              </w:rPr>
              <w:t xml:space="preserve"> verbunden werden (vgl 2 Ob 136/22x; vgl auch
8 Ob 98/19y; 6 Ob 181/19i). Auskunftsbegehren und
Eidesablegungsbegehren sind also nicht untrennbar miteinander
verbunden: So kann etwa das Auskunftsbegehren bereits erfüllt sein
und nur mehr die eidliche Bekräftigung ausstehen. Auch ist in der
Rsp anerkannt, dass Rechnungslegung einerseits und Eidesleistung
andererseits auch in der Exekution ein getrenntes Schicksal haben
können (RIS-Justiz RS0004372; vgl auch 3 Ob 1/87 = RIS-Justiz
RS0004478). Die Anerkennung der Verpflichtung zur Eidesleistung
durch die beklagte Partei zieht daher nicht zwingend die
Berechtigung des Auskunftsbegehrens nach sich (2 Ob 220/21y EvBl‑LS
2022/149).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Ausgehend davon, dass den
Unterhaltsschuldner grundsätzlich eine Verpflichtung zur Mitwirkung
bei der Ermittlung der Unterhaltsbemessungsgrundlage trifft (vgl
EFSlg 110.117; EFSlg 82.474), ist der unterhaltsberechtigten Person
im Falle der mangelnden oder überhaupt nicht gegebenen Mitwirkung
durch den Unterhaltsschuldner daher die Möglichkeit einzuräumen,
eine </w:t>
            </w:r>
            <w:r>
              <w:rPr>
                <w:rFonts w:ascii="Arial" w:hAnsi="Arial" w:eastAsia="Arial" w:cs="Arial"/>
                <w:b/>
                <w:bCs/>
                <w:color w:val="000000"/>
                <w:position w:val="0"/>
                <w:sz w:val="20"/>
                <w:szCs w:val="20"/>
              </w:rPr>
              <w:t xml:space="preserve">Stufenklage</w:t>
            </w:r>
            <w:r>
              <w:rPr>
                <w:rFonts w:ascii="Arial" w:hAnsi="Arial" w:eastAsia="Arial" w:cs="Arial"/>
                <w:color w:val="000000"/>
                <w:position w:val="0"/>
                <w:sz w:val="20"/>
                <w:szCs w:val="20"/>
              </w:rPr>
              <w:t xml:space="preserve"> nach Art XLII Abs 1
EGZPO einzubringen.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0280487" w:name="note10"/>
            <w:bookmarkEnd w:id="40280487"/>
            <w:bookmarkStart w:id="2817689441620" w:name="note10"/>
            <w:r>
              <w:rPr>
                <w:rFonts w:ascii="Arial" w:hAnsi="Arial" w:eastAsia="Arial" w:cs="Arial"/>
                <w:b/>
                <w:bCs/>
                <w:color w:val="000000"/>
                <w:position w:val="0"/>
                <w:sz w:val="20"/>
                <w:szCs w:val="20"/>
              </w:rPr>
              <w:t xml:space="preserve">[10]</w:t>
            </w:r>
            <w:bookmarkEnd w:id="281768944162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Verfahren nach Art XLII EGZPO bezieht sich
zusammengefasst darauf, den unterhaltspflichtigen Beklagten zur
Auskunftserteilung über seine gesamte Einkommenssituation, die zur
Ermittlung der Unterhaltsbemessungsgrundlage erforderlich ist, zu
verpflichten, wenn die grundlegenden Voraussetzungen für ein
solches Rechnungslegungsbegehren vorliegen. Es geht sohin um die
</w:t>
            </w:r>
            <w:r>
              <w:rPr>
                <w:rFonts w:ascii="Arial" w:hAnsi="Arial" w:eastAsia="Arial" w:cs="Arial"/>
                <w:b/>
                <w:bCs/>
                <w:color w:val="000000"/>
                <w:position w:val="0"/>
                <w:sz w:val="20"/>
                <w:szCs w:val="20"/>
              </w:rPr>
              <w:t xml:space="preserve">Offenlegung der (gesamten) Unterhaltsbemessungsgrundlage
als Basis für die Berechnung des Unterhaltsanspruchs</w:t>
            </w:r>
            <w:r>
              <w:rPr>
                <w:rFonts w:ascii="Arial" w:hAnsi="Arial" w:eastAsia="Arial" w:cs="Arial"/>
                <w:color w:val="000000"/>
                <w:position w:val="0"/>
                <w:sz w:val="20"/>
                <w:szCs w:val="20"/>
              </w:rPr>
              <w:t xml:space="preserve">
(RIS-Justiz RS0019529). Die Unterhaltsbemessungsgrundlage wird
durch das Einkommen des unterhaltspflichtigen Ehepartners gebildet
(RIS-Justiz RS0013386). Darunter fallen alle Einkünfte aus
Erwerbstätigkeit und Erträgnisse aus Vermögen (RIS-Justiz
RS0013386). Es wird also grundsätzlich ein Anspruch auf Auskunft
und Rechnungslegung betreffend alle für die Unterhaltsbemessung
maßgebenden Umstände anerkannt (RIS-Justiz RS0122058). Das
Auskunftsbegehren zielt daher grundsätzlich auf die Bekanntgabe der
(gesamten) Einkommenssituation des unterhaltspflichtigen Beklagten
ab, die zur Ermittlung der Unterhaltsbemessungsgrundlage
erforderlich ist (3 Ob 7/20f iFamZ 2020/176 [Deixler-Hübner]).</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07515" w:name="note11"/>
            <w:bookmarkEnd w:id="3507515"/>
            <w:bookmarkStart w:id="3994355457159" w:name="note11"/>
            <w:r>
              <w:rPr>
                <w:rFonts w:ascii="Arial" w:hAnsi="Arial" w:eastAsia="Arial" w:cs="Arial"/>
                <w:b/>
                <w:bCs/>
                <w:color w:val="000000"/>
                <w:position w:val="0"/>
                <w:sz w:val="20"/>
                <w:szCs w:val="20"/>
              </w:rPr>
              <w:t xml:space="preserve">[11]</w:t>
            </w:r>
            <w:bookmarkEnd w:id="3994355457159"/>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w:t>
            </w:r>
            <w:r>
              <w:rPr>
                <w:rFonts w:ascii="Arial" w:hAnsi="Arial" w:eastAsia="Arial" w:cs="Arial"/>
                <w:b/>
                <w:bCs/>
                <w:color w:val="000000"/>
                <w:position w:val="0"/>
                <w:sz w:val="20"/>
                <w:szCs w:val="20"/>
              </w:rPr>
              <w:t xml:space="preserve">Unterhaltsbemessungsgrundlage</w:t>
            </w:r>
            <w:r>
              <w:rPr>
                <w:rFonts w:ascii="Arial" w:hAnsi="Arial" w:eastAsia="Arial" w:cs="Arial"/>
                <w:color w:val="000000"/>
                <w:position w:val="0"/>
                <w:sz w:val="20"/>
                <w:szCs w:val="20"/>
              </w:rPr>
              <w:t xml:space="preserve"> wird durch das
Einkommen des unterhaltspflichtigen Ehepartners gebildet
(RIS-Justiz RS0013386). Zur Unterhaltsbemessungsgrundlage zählen
alle tatsächlich erzielten Einnahmen des Unterhaltspflichtigen in
Geld oder geldwerten Leistungen, über die er verfügen kann (7 Ob
16/14z EF‑Z 2014/109 = Zak 2014/275) oder die seine Bedürfnisse
verringern (4 Ob 218/08z EFSlg 122.649).</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Beachte:</w:t>
            </w:r>
            <w:r>
              <w:rPr>
                <w:rFonts w:ascii="Arial" w:hAnsi="Arial" w:eastAsia="Arial" w:cs="Arial"/>
                <w:color w:val="000000"/>
                <w:position w:val="0"/>
                <w:sz w:val="20"/>
                <w:szCs w:val="20"/>
              </w:rPr>
              <w:t xml:space="preserve"> Das
steuerrechtliche Einkommen ist mit dem unterhaltsrechtlichen nicht
notwendigerweise ident; die Steuerbemessungsgrundlage ist vielmehr,
wenn erforderlich, nach unterhaltsrechtlichen Grundsätzen zu
korrigieren (RIS-Justiz RS0013386), da steuerrechtliche Effekte
nicht unbedingt auf eine unterhaltsberechtigte Person durchschlagen
können sollen.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Bei </w:t>
            </w:r>
            <w:r>
              <w:rPr>
                <w:rFonts w:ascii="Arial" w:hAnsi="Arial" w:eastAsia="Arial" w:cs="Arial"/>
                <w:b/>
                <w:bCs/>
                <w:color w:val="000000"/>
                <w:position w:val="0"/>
                <w:sz w:val="20"/>
                <w:szCs w:val="20"/>
              </w:rPr>
              <w:t xml:space="preserve">unselbstständig
Erwerbstätigen</w:t>
            </w:r>
            <w:r>
              <w:rPr>
                <w:rFonts w:ascii="Arial" w:hAnsi="Arial" w:eastAsia="Arial" w:cs="Arial"/>
                <w:color w:val="000000"/>
                <w:position w:val="0"/>
                <w:sz w:val="20"/>
                <w:szCs w:val="20"/>
              </w:rPr>
              <w:t xml:space="preserve"> fällt unter das unterhaltsrechtliche
Einkommen somit das Arbeitsentgelt, also das, was der Arbeitgeber
dem Arbeitnehmer für das Zurverfügungstellen der Arbeitskraft
leistet, soweit damit nicht tatsächliche Aufwendungen abgegolten
werden. In die Unterhaltsbemessungsgrundlage ist das gesamte
Nettoeinkommen des unterhaltsverpflichteten Teils einzubeziehen
(RIS-Justiz RS0113786), wobei hierunter bspw grundsätzlich auch
geldwerte Vergünstigungen zu verstehen sind, die bei der Ermittlung
der Unterhaltsbemessungsgrundlage zu berücksichtigen sind, dies
betrifft etwa auch geldwerte Naturalbezüge wie bspw verbilligte
Mahlzeiten, verbilligten Strombezug oder verbilligte
Versicherungsprämien (vgl 1 Ob 115/13p iFamZ 2013/160; 10 Ob
4/07x), aber eben auch Prämien (10 Ob 18/04a EFSlg 107.176; EFSlg
103.482) und sonstige Zuwendungen des Arbeitgebers für die
Zukunftsvorsorge (6 Ob 278/01b EFSlg 95.643).</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Natural- bzw
Sachbezüge</w:t>
            </w:r>
            <w:r>
              <w:rPr>
                <w:rFonts w:ascii="Arial" w:hAnsi="Arial" w:eastAsia="Arial" w:cs="Arial"/>
                <w:color w:val="000000"/>
                <w:position w:val="0"/>
                <w:sz w:val="20"/>
                <w:szCs w:val="20"/>
              </w:rPr>
              <w:t xml:space="preserve">, etwa die private Benützung des
Firmenkraftfahrzeuges, Vorteile aus der Nutzung von
Betriebseinrichtungen, Zuwendungen des Arbeitgebers für
Zukunftssicherung, Mitarbeiterbeteiligungen, freie oder verbilligte
Mahlzeiten und am Arbeitsplatz verabreichte Getränke, insgesamt
also um Vorteile, die nicht dem Ausgleich eines echten
Mehraufwandes dienen, sondern die die Bedürfnisse des
Unterhaltspflichtigen jedenfalls verringern, sind gleichfalls bei
Ermittlung der Unterhaltsbemessungsgrundlage zu berücksichtigen (6
Ob 278/01b) und haben als Einkommensbestandteile in die
Bemessungsgrundlage einzufließen (RIS-Justiz RS0109238). Nach der
Rsp soll hier solange von der lohnsteuerrechtlichen Bewertung
dieser Sachleistungen ausgegangen werden, als es keine Hinweise
gibt, dass diese nicht den realen Gegebenheiten entsprechen (6 Ob
109/21d).</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Diäten</w:t>
            </w:r>
            <w:r>
              <w:rPr>
                <w:rFonts w:ascii="Arial" w:hAnsi="Arial" w:eastAsia="Arial" w:cs="Arial"/>
                <w:color w:val="000000"/>
                <w:position w:val="0"/>
                <w:sz w:val="20"/>
                <w:szCs w:val="20"/>
              </w:rPr>
              <w:t xml:space="preserve"> sind nach
ständiger höchstgerichtlicher Rsp zur Hälfte in die
Unterhaltsbemessungsgrundlage einzubeziehen, sofern der
Verpflichtete nicht nachweist, dass diese Bezüge darüber hinaus der
Abdeckung berufsbedingter Mehrausgaben dienen (8 Ob 160/18i Zak
2019/121 = iFamZ 2019/43; RIS-Justiz RS0047442). Dementsprechend
werden auch Auslandszulagen, Entfernungszulagen, Montagezulagen
oder Taggelder regelmäßig zur Hälfte in die
Unterhaltsbemessungsgrundlage einbezogen, sofern der
Unterhaltspflichtige nicht nachweist, dass er mehr als die Hälfte
zur Abdeckung seines berufsbedingten Mehraufwandes bedarf (7 Ob
302/99h). Ein reiner Spesenersatz stellt demgegenüber keinen
Einkommensbestandteil dar (LG Wels EFSlg 126.275). Schichtzulagen
sind zur Gänze in die Unterhaltsbemessungsgrundlage einzubeziehen
(9 Ob 74/19a).</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Vom Unterhaltspflichtigen bezogene
</w:t>
            </w:r>
            <w:r>
              <w:rPr>
                <w:rFonts w:ascii="Arial" w:hAnsi="Arial" w:eastAsia="Arial" w:cs="Arial"/>
                <w:b/>
                <w:bCs/>
                <w:color w:val="000000"/>
                <w:position w:val="0"/>
                <w:sz w:val="20"/>
                <w:szCs w:val="20"/>
              </w:rPr>
              <w:t xml:space="preserve">Abfertigungen</w:t>
            </w:r>
            <w:r>
              <w:rPr>
                <w:rFonts w:ascii="Arial" w:hAnsi="Arial" w:eastAsia="Arial" w:cs="Arial"/>
                <w:color w:val="000000"/>
                <w:position w:val="0"/>
                <w:sz w:val="20"/>
                <w:szCs w:val="20"/>
              </w:rPr>
              <w:t xml:space="preserve"> sind bei der Unterhaltsbemessung
grundsätzlich auf so viele Monate aufzuteilen, als diese
Abfertigung Monatsentgelten entspricht (RIS-Justiz RS0050466).
Gerade wenn eine Abfertigung allerdings einer gewissen finanziellen
Überbrückung dient, ist eine Aufteilung auch derart denkbar, dass
unter Bedachtnahme auf die zu überbrückende Zeit der
Arbeitslosigkeit und unter Berücksichtigung des der
unterhaltspflichtigen Person nun anstelle des bisherigen
Arbeitseinkommens zufließenden, verminderten Einkommens etwa der
Betrag des letzten, vor dem (zufolge Kündigung notwendigen)
Arbeitsplatzwechsel erzielten, durchschnittlichen monatlichen
Einkommens erreicht wird (7 Ob 211/02h).</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Für das Einkommen
</w:t>
            </w:r>
            <w:r>
              <w:rPr>
                <w:rFonts w:ascii="Arial" w:hAnsi="Arial" w:eastAsia="Arial" w:cs="Arial"/>
                <w:b/>
                <w:bCs/>
                <w:color w:val="000000"/>
                <w:position w:val="0"/>
                <w:sz w:val="20"/>
                <w:szCs w:val="20"/>
              </w:rPr>
              <w:t xml:space="preserve">selbstständig Erwerbstätiger</w:t>
            </w:r>
            <w:r>
              <w:rPr>
                <w:rFonts w:ascii="Arial" w:hAnsi="Arial" w:eastAsia="Arial" w:cs="Arial"/>
                <w:color w:val="000000"/>
                <w:position w:val="0"/>
                <w:sz w:val="20"/>
                <w:szCs w:val="20"/>
              </w:rPr>
              <w:t xml:space="preserve"> ist nach einhelliger
Lehre und Rsp weiters nicht der steuerliche Reingewinn maßgebend,
sondern der </w:t>
            </w:r>
            <w:r>
              <w:rPr>
                <w:rFonts w:ascii="Arial" w:hAnsi="Arial" w:eastAsia="Arial" w:cs="Arial"/>
                <w:b/>
                <w:bCs/>
                <w:color w:val="000000"/>
                <w:position w:val="0"/>
                <w:sz w:val="20"/>
                <w:szCs w:val="20"/>
              </w:rPr>
              <w:t xml:space="preserve">tatsächlich verbleibende Reingewinn</w:t>
            </w:r>
            <w:r>
              <w:rPr>
                <w:rFonts w:ascii="Arial" w:hAnsi="Arial" w:eastAsia="Arial" w:cs="Arial"/>
                <w:color w:val="000000"/>
                <w:position w:val="0"/>
                <w:sz w:val="20"/>
                <w:szCs w:val="20"/>
              </w:rPr>
              <w:t xml:space="preserve"> (2
Ob 115/11t; uva). Erfolgt die steuerliche Gewinnermittlung nach
§ 4 Abs 3 EStG (bspw niedergelassener Arzt), ist als
Unterhaltsbemessungsgrundlage das Durchschnittseinkommen der drei
letzten, der Beschlussfassung vorangegangenen Wirtschaftsjahre
heranzuziehen (RIS-Justiz RS0053251), wobei dies nach der Rsp
grundsätzlich ganz allgemein bei selbstständig Erwerbstätigen
gelten soll (vgl 1 Ob 97/99t; uva). Es sollen damit
Einkommensschwankungen, die auf steuerliche Gestaltungsmöglichkeit
zurückzuführen sind, ausgeschalten werden, weil nur so eine
verlässliche Bemessungsgrundlage gefunden werden kann (1 Ob 12/98s;
ua). Der dergestalt ermittelte Durchschnitt der letzten drei
abgeschlossenen Wirtschaftsjahre ist grundsätzlich für die
Bemessung der laufenden bzw zukünftigen monatlichen
Unterhaltsbeträge maßgebend. Hierbei ist freilich auch auf die
konkreten Indikatoren für die Unternehmensaussichten Bedacht zu
nehmen (3 Ob 395/97b), bei der Unterhaltsbemessung für die Zukunft
ist nämlich immer maßgebend, ob das in der Vergangenheit erzielte
Einkommen darauf schließen lässt, dass der Unterhaltspflichtige
auch weiterhin ein Einkommen in ähnlicher Höhe erzielen werde (5 Ob
29/04g). Tätigt die unterhaltspflichtige Person aber höhere
</w:t>
            </w:r>
            <w:r>
              <w:rPr>
                <w:rFonts w:ascii="Arial" w:hAnsi="Arial" w:eastAsia="Arial" w:cs="Arial"/>
                <w:b/>
                <w:bCs/>
                <w:color w:val="000000"/>
                <w:position w:val="0"/>
                <w:sz w:val="20"/>
                <w:szCs w:val="20"/>
              </w:rPr>
              <w:t xml:space="preserve">Privatentnahmen</w:t>
            </w:r>
            <w:r>
              <w:rPr>
                <w:rFonts w:ascii="Arial" w:hAnsi="Arial" w:eastAsia="Arial" w:cs="Arial"/>
                <w:color w:val="000000"/>
                <w:position w:val="0"/>
                <w:sz w:val="20"/>
                <w:szCs w:val="20"/>
              </w:rPr>
              <w:t xml:space="preserve">, als es dem Reingewinn entspricht,
so greift sie insofern den Stamm ihres Vermögens an. Sieht sich der
Unterhaltspflichtige zu einer solchen Vorgangsweise zur
Befriedigung eigener Bedürfnisse veranlasst – und möglicherweise
ohne Gefährdung der Existenzgrundlage (also des Unternehmens) sogar
berechtigt –, so liegt eben darin eine Gestaltung der
Lebensverhältnisse des Unterhaltspflichtigen, an denen die
angemessenen Bedürfnisse des Kindes zu messen sind. Es bilden daher
Privatentnahmen die Unterhaltsbemessungsgrundlage, und zwar sogar
dann, wenn der Unterhaltspflichtige mit einem bilanzmäßigen Verlust
abschließt (RIS-Justiz RS0047382). Privatentnahmen eines
selbstständig Erwerbstätigen aus seinem Unternehmen, die durch eine
Erhöhung der Bankverbindlichkeiten des Unternehmens finanziert
werden, sind nach der Rsp allerdings nur solange ein
(unterhaltsrechtlich zu berücksichtigender) Eingriff in die
Vermögenssubstanz des Unternehmens, als der Erhöhung der
Bankverbindlichkeiten ein Vermögen gegenübersteht; ist dies nicht
(mehr) der Fall, ist die Situation gleich wie jene des
(vermögenslosen) unselbstständig Erwerbstätigen, der seinen
Lebensunterhalt durch Überziehung seines Girokontos oder Aufnahme
eines Privatkredits finanziert. In beiden Fällen ist dann mangels
gegenüberstehenden Vermögens ein Eingriff in die Vermögenssubstanz
nicht (mehr) möglich (2 Ob 115/11t Zak 2011/812 = Jus-Extra OGH-Z
5059).</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Pensionen</w:t>
            </w:r>
            <w:r>
              <w:rPr>
                <w:rFonts w:ascii="Arial" w:hAnsi="Arial" w:eastAsia="Arial" w:cs="Arial"/>
                <w:color w:val="000000"/>
                <w:position w:val="0"/>
                <w:sz w:val="20"/>
                <w:szCs w:val="20"/>
              </w:rPr>
              <w:t xml:space="preserve"> aus der
gesetzlichen Pensionsversicherung oder einer betrieblichen
Altersvorsorge fallen selbstverständlich in die
Unterhaltsbemessungsgrundlage.</w:t>
            </w:r>
          </w:p>
          <w:p>
            <w:pPr>
              <w:widowControl w:val="on"/>
              <w:pBdr/>
              <w:spacing w:before="0" w:after="0" w:line="288" w:lineRule="auto"/>
              <w:ind w:left="0" w:right="0"/>
              <w:jc w:val="both"/>
              <w:textAlignment w:val="top"/>
            </w:pPr>
            <w:r>
              <w:rPr>
                <w:rFonts w:ascii="Arial" w:hAnsi="Arial" w:eastAsia="Arial" w:cs="Arial"/>
                <w:b/>
                <w:bCs/>
                <w:color w:val="000000"/>
                <w:position w:val="0"/>
                <w:sz w:val="20"/>
                <w:szCs w:val="20"/>
              </w:rPr>
              <w:t xml:space="preserve">Öffentlich-rechtliche
Leistungen</w:t>
            </w:r>
            <w:r>
              <w:rPr>
                <w:rFonts w:ascii="Arial" w:hAnsi="Arial" w:eastAsia="Arial" w:cs="Arial"/>
                <w:color w:val="000000"/>
                <w:position w:val="0"/>
                <w:sz w:val="20"/>
                <w:szCs w:val="20"/>
              </w:rPr>
              <w:t xml:space="preserve"> sind grundsätzlich in die
Unterhaltsbemessungsgrundlage einzubeziehen (RIS-Justiz RS0047456;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Unterhaltsrecht</w:t>
            </w:r>
            <w:r>
              <w:rPr>
                <w:rFonts w:ascii="Arial" w:hAnsi="Arial" w:eastAsia="Arial" w:cs="Arial"/>
                <w:color w:val="000000"/>
                <w:position w:val="3"/>
                <w:sz w:val="18"/>
                <w:szCs w:val="18"/>
                <w:vertAlign w:val="superscript"/>
              </w:rPr>
              <w:t xml:space="preserve">4</w:t>
            </w:r>
            <w:r>
              <w:rPr>
                <w:rFonts w:ascii="Arial" w:hAnsi="Arial" w:eastAsia="Arial" w:cs="Arial"/>
                <w:color w:val="000000"/>
                <w:position w:val="0"/>
                <w:sz w:val="20"/>
                <w:szCs w:val="20"/>
              </w:rPr>
              <w:t xml:space="preserve">, 2019,
Rz 271 mwN).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Einkommen im unterhaltsrechtlichen
Sinne können auch die </w:t>
            </w:r>
            <w:r>
              <w:rPr>
                <w:rFonts w:ascii="Arial" w:hAnsi="Arial" w:eastAsia="Arial" w:cs="Arial"/>
                <w:b/>
                <w:bCs/>
                <w:color w:val="000000"/>
                <w:position w:val="0"/>
                <w:sz w:val="20"/>
                <w:szCs w:val="20"/>
              </w:rPr>
              <w:t xml:space="preserve">Erträgnisse des Vermögens</w:t>
            </w:r>
            <w:r>
              <w:rPr>
                <w:rFonts w:ascii="Arial" w:hAnsi="Arial" w:eastAsia="Arial" w:cs="Arial"/>
                <w:color w:val="000000"/>
                <w:position w:val="0"/>
                <w:sz w:val="20"/>
                <w:szCs w:val="20"/>
              </w:rPr>
              <w:t xml:space="preserve">
des Verpflichteten sein, mag dieses auch etwa im Erbweg erworben
worden sein, grundsätzlich aber nicht die Vermögenssubstanz selbst
(RIS-Justiz RS0113786). Sohin stellen Kapitalzinsen eine
tatsächlich erzielte Einnahme des Verpflichteten in Geld dar (1 Ob
168/21v; 2 Ob 295/00x SZ 73/179) oder der auf die Verzinsung der
Ersparnisse entfallende Anteil der Rente aus einer
Lebensversicherung (4 Ob 218/08z SZ 2009/22). Bloße
Vermögensumschichtungen sind allerdings unterhaltsrechtlich
unerheblich (1 Ob 98/03y; RIS-Justiz RS0117850; RS0113786). Greift
der Unterhaltspflichtige sein </w:t>
            </w:r>
            <w:r>
              <w:rPr>
                <w:rFonts w:ascii="Arial" w:hAnsi="Arial" w:eastAsia="Arial" w:cs="Arial"/>
                <w:b/>
                <w:bCs/>
                <w:color w:val="000000"/>
                <w:position w:val="0"/>
                <w:sz w:val="20"/>
                <w:szCs w:val="20"/>
              </w:rPr>
              <w:t xml:space="preserve">Vermögen</w:t>
            </w:r>
            <w:r>
              <w:rPr>
                <w:rFonts w:ascii="Arial" w:hAnsi="Arial" w:eastAsia="Arial" w:cs="Arial"/>
                <w:color w:val="000000"/>
                <w:position w:val="0"/>
                <w:sz w:val="20"/>
                <w:szCs w:val="20"/>
              </w:rPr>
              <w:t xml:space="preserve"> an, um
damit die Kosten der von ihm gewählten Lebensführung zu decken,
kann letzten Endes auch dieses Maß der Inanspruchnahme (auch) als
Grundlage für die Bemessung des Unterhaltsanspruchs (2 Ob 115/11t;
ua) dienen.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2205593" w:name="note12"/>
            <w:bookmarkEnd w:id="22205593"/>
            <w:bookmarkStart w:id="6909485710945" w:name="note12"/>
            <w:r>
              <w:rPr>
                <w:rFonts w:ascii="Arial" w:hAnsi="Arial" w:eastAsia="Arial" w:cs="Arial"/>
                <w:b/>
                <w:bCs/>
                <w:color w:val="000000"/>
                <w:position w:val="0"/>
                <w:sz w:val="20"/>
                <w:szCs w:val="20"/>
              </w:rPr>
              <w:t xml:space="preserve">[12]</w:t>
            </w:r>
            <w:bookmarkEnd w:id="6909485710945"/>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Das Gericht hat das Verfahren über
den Rechnungslegungsanspruch (Manifestationsverfahren) vom
Verfahren über den Leistungsanspruch </w:t>
            </w:r>
            <w:r>
              <w:rPr>
                <w:rFonts w:ascii="Arial" w:hAnsi="Arial" w:eastAsia="Arial" w:cs="Arial"/>
                <w:b/>
                <w:bCs/>
                <w:color w:val="000000"/>
                <w:position w:val="0"/>
                <w:sz w:val="20"/>
                <w:szCs w:val="20"/>
              </w:rPr>
              <w:t xml:space="preserve">getrennt</w:t>
            </w:r>
            <w:r>
              <w:rPr>
                <w:rFonts w:ascii="Arial" w:hAnsi="Arial" w:eastAsia="Arial" w:cs="Arial"/>
                <w:color w:val="000000"/>
                <w:position w:val="0"/>
                <w:sz w:val="20"/>
                <w:szCs w:val="20"/>
              </w:rPr>
              <w:t xml:space="preserve"> zu
führen (4 Ob 182/13p).</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Das Verfahren hat
sich vorerst auf die </w:t>
            </w:r>
            <w:r>
              <w:rPr>
                <w:rFonts w:ascii="Arial" w:hAnsi="Arial" w:eastAsia="Arial" w:cs="Arial"/>
                <w:b/>
                <w:bCs/>
                <w:color w:val="000000"/>
                <w:position w:val="0"/>
                <w:sz w:val="20"/>
                <w:szCs w:val="20"/>
              </w:rPr>
              <w:t xml:space="preserve">Erledigung des
Rechnungslegungsbegehrens</w:t>
            </w:r>
            <w:r>
              <w:rPr>
                <w:rFonts w:ascii="Arial" w:hAnsi="Arial" w:eastAsia="Arial" w:cs="Arial"/>
                <w:color w:val="000000"/>
                <w:position w:val="0"/>
                <w:sz w:val="20"/>
                <w:szCs w:val="20"/>
              </w:rPr>
              <w:t xml:space="preserve"> zu beschränken. Nur über dieses
ist – im Fall der Berechtigung des Rechnungslegungsbegehrens –
zunächst mit </w:t>
            </w:r>
            <w:r>
              <w:rPr>
                <w:rFonts w:ascii="Arial" w:hAnsi="Arial" w:eastAsia="Arial" w:cs="Arial"/>
                <w:b/>
                <w:bCs/>
                <w:color w:val="000000"/>
                <w:position w:val="0"/>
                <w:sz w:val="20"/>
                <w:szCs w:val="20"/>
              </w:rPr>
              <w:t xml:space="preserve">Teilurteil</w:t>
            </w:r>
            <w:r>
              <w:rPr>
                <w:rFonts w:ascii="Arial" w:hAnsi="Arial" w:eastAsia="Arial" w:cs="Arial"/>
                <w:color w:val="000000"/>
                <w:position w:val="0"/>
                <w:sz w:val="20"/>
                <w:szCs w:val="20"/>
              </w:rPr>
              <w:t xml:space="preserve"> zu entscheiden (5 Ob
212/08z Zak 2009/80 mwN).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Über das
</w:t>
            </w:r>
            <w:r>
              <w:rPr>
                <w:rFonts w:ascii="Arial" w:hAnsi="Arial" w:eastAsia="Arial" w:cs="Arial"/>
                <w:b/>
                <w:bCs/>
                <w:color w:val="000000"/>
                <w:position w:val="0"/>
                <w:sz w:val="20"/>
                <w:szCs w:val="20"/>
              </w:rPr>
              <w:t xml:space="preserve">Leistungsbegehren</w:t>
            </w:r>
            <w:r>
              <w:rPr>
                <w:rFonts w:ascii="Arial" w:hAnsi="Arial" w:eastAsia="Arial" w:cs="Arial"/>
                <w:color w:val="000000"/>
                <w:position w:val="0"/>
                <w:sz w:val="20"/>
                <w:szCs w:val="20"/>
              </w:rPr>
              <w:t xml:space="preserve"> ist erst nach Rechtskraft der
Entscheidung über das Manifestationsbegehren zu entscheiden
(RIS-Justiz RS0035079).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So der geltend gemachte
Unterhaltsanspruch also dem Grunde nach zu Recht besteht, ist im
Rahmen der Stufenklage dem Rechnungslegungsbegehren durch
Teilurteil stattzugeben (2 Ob 217/04g; 1 Ob 2370/96b). Maßgebend
ist zunächst der </w:t>
            </w:r>
            <w:r>
              <w:rPr>
                <w:rFonts w:ascii="Arial" w:hAnsi="Arial" w:eastAsia="Arial" w:cs="Arial"/>
                <w:b/>
                <w:bCs/>
                <w:color w:val="000000"/>
                <w:position w:val="0"/>
                <w:sz w:val="20"/>
                <w:szCs w:val="20"/>
              </w:rPr>
              <w:t xml:space="preserve">Schluss der Verhandlung erster
Instanz</w:t>
            </w:r>
            <w:r>
              <w:rPr>
                <w:rFonts w:ascii="Arial" w:hAnsi="Arial" w:eastAsia="Arial" w:cs="Arial"/>
                <w:color w:val="000000"/>
                <w:position w:val="0"/>
                <w:sz w:val="20"/>
                <w:szCs w:val="20"/>
              </w:rPr>
              <w:t xml:space="preserve">, nicht der Zeitpunkt der Urteilsschöpfung
(RIS-Justiz RS0036969). Der Entscheidung des Gerichts sind sohin
das Parteivorbringen, wie es sich aufgrund von zulässigen
Änderungen und Ergänzungen im Zeitpunkt des Schlusses der
mündlichen Verhandlung erster Instanz darstellt und die Sachlage,
wie sie in diesem Zeitpunkt feststeht, zugrundezulegen (5 Ob
95/09w).</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Der Rechnungslegungsanspruch nach
Art XLII EGZPO setzt neben dem Nachweis, dass der
Klageanspruch auf Unterhalt dem Grunde nach zu Recht besteht,
weiters voraus, dass der nach materiellem Recht aufgrund einer
Sonderbeziehung Auskunftsberechtigte gegen den
Auskunftsverpflichteten ein bestimmtes Klagebegehren auf Leistung
nur mit erheblichen Schwierigkeiten, die durch eine solche
Abrechnung vermieden werden können, zu erheben vermag und dass die
Auskunftserteilung dem Verpflichteten zumutbar ist. Es muss also
die </w:t>
            </w:r>
            <w:r>
              <w:rPr>
                <w:rFonts w:ascii="Arial" w:hAnsi="Arial" w:eastAsia="Arial" w:cs="Arial"/>
                <w:b/>
                <w:bCs/>
                <w:color w:val="000000"/>
                <w:position w:val="0"/>
                <w:sz w:val="20"/>
                <w:szCs w:val="20"/>
              </w:rPr>
              <w:t xml:space="preserve">Interessenabwägung</w:t>
            </w:r>
            <w:r>
              <w:rPr>
                <w:rFonts w:ascii="Arial" w:hAnsi="Arial" w:eastAsia="Arial" w:cs="Arial"/>
                <w:color w:val="000000"/>
                <w:position w:val="0"/>
                <w:sz w:val="20"/>
                <w:szCs w:val="20"/>
              </w:rPr>
              <w:t xml:space="preserve"> zugunsten des Klägers
ausfallen (RIS-Justiz RS0122058).</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An die
</w:t>
            </w:r>
            <w:r>
              <w:rPr>
                <w:rFonts w:ascii="Arial" w:hAnsi="Arial" w:eastAsia="Arial" w:cs="Arial"/>
                <w:b/>
                <w:bCs/>
                <w:color w:val="000000"/>
                <w:position w:val="0"/>
                <w:sz w:val="20"/>
                <w:szCs w:val="20"/>
              </w:rPr>
              <w:t xml:space="preserve">Bescheinigungspflicht</w:t>
            </w:r>
            <w:r>
              <w:rPr>
                <w:rFonts w:ascii="Arial" w:hAnsi="Arial" w:eastAsia="Arial" w:cs="Arial"/>
                <w:color w:val="000000"/>
                <w:position w:val="0"/>
                <w:sz w:val="20"/>
                <w:szCs w:val="20"/>
              </w:rPr>
              <w:t xml:space="preserve"> der unterhaltsberechtigten
Person ist nach der Rsp allerdings kein zu hoher Maßstab anzulegen,
ist es doch gerade das Ziel des Manifestationsverfahrens, die
entsprechenden Informationen zu erhalten (vgl 1 Ob 181/16y).</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Bindungswirkung betreffend das
rechtskräftige Teilurteil schließt aber nur die Verhandlung,
Beweisaufnahme und neuerliche Prüfung des bereits rechtskräftig
entschiedenen Klagsanspruches aus, nicht aber die Verhandlung und
Entscheidung über das neue, im selben rechtserzeugenden Sachverhalt
wurzelnde Leistungsbegehren und die nur dazu erhobenen Einwendungen
(RIS-Justiz RS0035069).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317268" w:name="note13"/>
            <w:bookmarkEnd w:id="64317268"/>
            <w:bookmarkStart w:id="8681581968413" w:name="note13"/>
            <w:r>
              <w:rPr>
                <w:rFonts w:ascii="Arial" w:hAnsi="Arial" w:eastAsia="Arial" w:cs="Arial"/>
                <w:b/>
                <w:bCs/>
                <w:color w:val="000000"/>
                <w:position w:val="0"/>
                <w:sz w:val="20"/>
                <w:szCs w:val="20"/>
              </w:rPr>
              <w:t xml:space="preserve">[13]</w:t>
            </w:r>
            <w:bookmarkEnd w:id="8681581968413"/>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Im Teilurteil ist grundsätzlich auch
über die </w:t>
            </w:r>
            <w:r>
              <w:rPr>
                <w:rFonts w:ascii="Arial" w:hAnsi="Arial" w:eastAsia="Arial" w:cs="Arial"/>
                <w:b/>
                <w:bCs/>
                <w:color w:val="000000"/>
                <w:position w:val="0"/>
                <w:sz w:val="20"/>
                <w:szCs w:val="20"/>
              </w:rPr>
              <w:t xml:space="preserve">Kosten</w:t>
            </w:r>
            <w:r>
              <w:rPr>
                <w:rFonts w:ascii="Arial" w:hAnsi="Arial" w:eastAsia="Arial" w:cs="Arial"/>
                <w:color w:val="000000"/>
                <w:position w:val="0"/>
                <w:sz w:val="20"/>
                <w:szCs w:val="20"/>
              </w:rPr>
              <w:t xml:space="preserve"> zu entscheiden (9 ObA 50/11k;
ua).</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Besonderheiten sind in Zusammenhang
mit der </w:t>
            </w:r>
            <w:r>
              <w:rPr>
                <w:rFonts w:ascii="Arial" w:hAnsi="Arial" w:eastAsia="Arial" w:cs="Arial"/>
                <w:b/>
                <w:bCs/>
                <w:color w:val="000000"/>
                <w:position w:val="0"/>
                <w:sz w:val="20"/>
                <w:szCs w:val="20"/>
              </w:rPr>
              <w:t xml:space="preserve">Bewertung</w:t>
            </w:r>
            <w:r>
              <w:rPr>
                <w:rFonts w:ascii="Arial" w:hAnsi="Arial" w:eastAsia="Arial" w:cs="Arial"/>
                <w:color w:val="000000"/>
                <w:position w:val="0"/>
                <w:sz w:val="20"/>
                <w:szCs w:val="20"/>
              </w:rPr>
              <w:t xml:space="preserve"> zu berücksichtigen:
Grundsätzlich hat der Kläger den Wert eines nicht in einem
Geldbetrag bestehenden vermögensrechtlichen Streitgegenstandes in
der Klage anzugeben. Dies gilt insbesondere auch in Ansehung von
Feststellungsklagen. Unterlässt der Kläger eine Bewertung in einer
Klage, so gilt der Betrag von EUR 5.000,– als Streitwert
(§ 56 Abs 2 JN).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Bringt ein Kläger eine Stufenklage
ein, in der sowohl ein Rechnungslegungsbegehren als auch
Leistungsbegehren bewertet werden, sind diese beiden Ansprüche zur
Ermittlung der Bemessungsgrundlage der Pauschalgebühr auch dann
zusammenzurechnen, wenn nachfolgend vom Gericht erster Instanz nur
über das Rechnungslegungsbegehren entschieden wurde
(</w:t>
            </w:r>
            <w:r>
              <w:rPr>
                <w:rFonts w:ascii="Arial" w:hAnsi="Arial" w:eastAsia="Arial" w:cs="Arial"/>
                <w:i/>
                <w:iCs/>
                <w:color w:val="000000"/>
                <w:position w:val="0"/>
                <w:sz w:val="20"/>
                <w:szCs w:val="20"/>
              </w:rPr>
              <w:t xml:space="preserve">Klauser/Kodek</w:t>
            </w:r>
            <w:r>
              <w:rPr>
                <w:rFonts w:ascii="Arial" w:hAnsi="Arial" w:eastAsia="Arial" w:cs="Arial"/>
                <w:color w:val="000000"/>
                <w:position w:val="0"/>
                <w:sz w:val="20"/>
                <w:szCs w:val="20"/>
              </w:rPr>
              <w:t xml:space="preserve">, JN-ZPO</w:t>
            </w:r>
            <w:r>
              <w:rPr>
                <w:rFonts w:ascii="Arial" w:hAnsi="Arial" w:eastAsia="Arial" w:cs="Arial"/>
                <w:color w:val="000000"/>
                <w:position w:val="3"/>
                <w:sz w:val="18"/>
                <w:szCs w:val="18"/>
                <w:vertAlign w:val="superscript"/>
              </w:rPr>
              <w:t xml:space="preserve">17</w:t>
            </w:r>
            <w:r>
              <w:rPr>
                <w:rFonts w:ascii="Arial" w:hAnsi="Arial" w:eastAsia="Arial" w:cs="Arial"/>
                <w:color w:val="000000"/>
                <w:position w:val="0"/>
                <w:sz w:val="20"/>
                <w:szCs w:val="20"/>
              </w:rPr>
              <w:t xml:space="preserve"> [2012], § 56 JN,
E 29 mwN).</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Es empfiehlt sich jedenfalls, eine
Bewertung in der Klagserzählung vorzunehmen. Wird eine Bewertung
unterlassen, gilt zwar grundsätzlich der Zweifelsstreitwert nach
§ 56 Abs 2 JN. Allerdings ist hier der § 4 RATG, der
uneingeschränkt unter anderem auf § 56 JN verweist,
teleologisch zu reduzieren und § 56 Abs 2 Satz 3 JN von
der Verweisung auszunehmen. Andernfalls hätte nämlich die im
§ 14 RATG vorgesehene Zweifelsregelung kaum eine praktische
Bedeutung. Maßgebend ist daher die für Zweifelsfälle vorgesehene
Bemessungsgrundlage des § 14 RATG, die im bezirksgerichtlichen
Verfahren EUR 730,– beträgt (</w:t>
            </w:r>
            <w:r>
              <w:rPr>
                <w:rFonts w:ascii="Arial" w:hAnsi="Arial" w:eastAsia="Arial" w:cs="Arial"/>
                <w:i/>
                <w:iCs/>
                <w:color w:val="000000"/>
                <w:position w:val="0"/>
                <w:sz w:val="20"/>
                <w:szCs w:val="20"/>
              </w:rPr>
              <w:t xml:space="preserve">Klauser/Kodek</w:t>
            </w:r>
            <w:r>
              <w:rPr>
                <w:rFonts w:ascii="Arial" w:hAnsi="Arial" w:eastAsia="Arial" w:cs="Arial"/>
                <w:color w:val="000000"/>
                <w:position w:val="0"/>
                <w:sz w:val="20"/>
                <w:szCs w:val="20"/>
              </w:rPr>
              <w:t xml:space="preserve">, aaO,
§ 57 JN, E 31, mwN).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570332" w:name="note14"/>
            <w:bookmarkEnd w:id="72570332"/>
            <w:bookmarkStart w:id="1837117878672" w:name="note14"/>
            <w:r>
              <w:rPr>
                <w:rFonts w:ascii="Arial" w:hAnsi="Arial" w:eastAsia="Arial" w:cs="Arial"/>
                <w:b/>
                <w:bCs/>
                <w:color w:val="000000"/>
                <w:position w:val="0"/>
                <w:sz w:val="20"/>
                <w:szCs w:val="20"/>
              </w:rPr>
              <w:t xml:space="preserve">[14]</w:t>
            </w:r>
            <w:bookmarkEnd w:id="1837117878672"/>
          </w:p>
        </w:tc>
        <w:tc>
          <w:tcPr>
            <w:tcW w:w="4670" w:type="pct"/>
            <w:tcMar>
              <w:top w:w="156" w:type="dxa"/>
              <w:left w:w="0" w:type="auto"/>
              <w:bottom w:w="78" w:type="dxa"/>
              <w:right w:w="0" w:type="auto"/>
            </w:tcMar>
            <w:vAlign w:val="top"/>
          </w:tcPr>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Die urteilsmäßige
Verpflichtung zur Rechnungslegung ist erfüllt, wenn eine
</w:t>
            </w:r>
            <w:r>
              <w:rPr>
                <w:rFonts w:ascii="Arial" w:hAnsi="Arial" w:eastAsia="Arial" w:cs="Arial"/>
                <w:b/>
                <w:bCs/>
                <w:color w:val="000000"/>
                <w:position w:val="0"/>
                <w:sz w:val="20"/>
                <w:szCs w:val="20"/>
              </w:rPr>
              <w:t xml:space="preserve">formell vollständige Rechnung</w:t>
            </w:r>
            <w:r>
              <w:rPr>
                <w:rFonts w:ascii="Arial" w:hAnsi="Arial" w:eastAsia="Arial" w:cs="Arial"/>
                <w:color w:val="000000"/>
                <w:position w:val="0"/>
                <w:sz w:val="20"/>
                <w:szCs w:val="20"/>
              </w:rPr>
              <w:t xml:space="preserve"> gelegt wurde. Der
darüber hinaus bestehende Anspruch auf vollständige und
wahrheitsgemäße Rechnungslegung kann – abgesehen von der
Möglichkeit der Klage auf Eidesleistung nach Art XLII EGZPO –
prozessual nicht erzwungen werden, sondern berechtigt nur zur
Erhebung von Schadenersatzansprüchen (RIS-Justiz RS0004372).</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Über das
</w:t>
            </w:r>
            <w:r>
              <w:rPr>
                <w:rFonts w:ascii="Arial" w:hAnsi="Arial" w:eastAsia="Arial" w:cs="Arial"/>
                <w:b/>
                <w:bCs/>
                <w:color w:val="000000"/>
                <w:position w:val="0"/>
                <w:sz w:val="20"/>
                <w:szCs w:val="20"/>
              </w:rPr>
              <w:t xml:space="preserve">Leistungsbegehren</w:t>
            </w:r>
            <w:r>
              <w:rPr>
                <w:rFonts w:ascii="Arial" w:hAnsi="Arial" w:eastAsia="Arial" w:cs="Arial"/>
                <w:color w:val="000000"/>
                <w:position w:val="0"/>
                <w:sz w:val="20"/>
                <w:szCs w:val="20"/>
              </w:rPr>
              <w:t xml:space="preserve"> ist erst nach Rechtskraft der
Entscheidung über das Manifestationsbegehren zu entscheiden
(RIS-Justiz RS0035079).</w:t>
            </w:r>
          </w:p>
          <w:p>
            <w:pPr>
              <w:widowControl w:val="on"/>
              <w:pBdr/>
              <w:spacing w:before="0" w:after="0" w:line="288" w:lineRule="auto"/>
              <w:ind w:left="0" w:right="0"/>
              <w:jc w:val="both"/>
              <w:textAlignment w:val="top"/>
            </w:pPr>
            <w:r>
              <w:rPr>
                <w:rFonts w:ascii="Arial" w:hAnsi="Arial" w:eastAsia="Arial" w:cs="Arial"/>
                <w:color w:val="000000"/>
                <w:position w:val="0"/>
                <w:sz w:val="20"/>
                <w:szCs w:val="20"/>
              </w:rPr>
              <w:t xml:space="preserve">Nach Rechtskraft des Teilurteils
über die Rechnungslegungspflicht hat der Stufenkläger also, wenn er
über die erforderlichen Informationen verfügt, die
</w:t>
            </w:r>
            <w:r>
              <w:rPr>
                <w:rFonts w:ascii="Arial" w:hAnsi="Arial" w:eastAsia="Arial" w:cs="Arial"/>
                <w:b/>
                <w:bCs/>
                <w:color w:val="000000"/>
                <w:position w:val="0"/>
                <w:sz w:val="20"/>
                <w:szCs w:val="20"/>
              </w:rPr>
              <w:t xml:space="preserve">Fortsetzung des Verfahrens</w:t>
            </w:r>
            <w:r>
              <w:rPr>
                <w:rFonts w:ascii="Arial" w:hAnsi="Arial" w:eastAsia="Arial" w:cs="Arial"/>
                <w:color w:val="000000"/>
                <w:position w:val="0"/>
                <w:sz w:val="20"/>
                <w:szCs w:val="20"/>
              </w:rPr>
              <w:t xml:space="preserve"> über das noch offene
Leistungsbegehren zu beantragen und dieses zu beziffern bzw
bestimmt zu gestalten. Dazu kann er nicht gezwungen werden; der
Streit über die Zulässigkeit bzw über die Berechtigung der
Verfahrensfortsetzung ist dabei ein Zwischenstreit, in dem über
dessen Kosten abzusprechen ist. Schränkt er aufgrund der Auskunft
auf Kostenersatz ein, weil sich erst daraus ergeben hat, dass ihm
der Höhe nach nichts zusteht, so steht ihm für das gesamte
Verfahren voller Kostenersatz zu (</w:t>
            </w:r>
            <w:r>
              <w:rPr>
                <w:rFonts w:ascii="Arial" w:hAnsi="Arial" w:eastAsia="Arial" w:cs="Arial"/>
                <w:i/>
                <w:iCs/>
                <w:color w:val="000000"/>
                <w:position w:val="0"/>
                <w:sz w:val="20"/>
                <w:szCs w:val="20"/>
              </w:rPr>
              <w:t xml:space="preserve">Obermaier</w:t>
            </w:r>
            <w:r>
              <w:rPr>
                <w:rFonts w:ascii="Arial" w:hAnsi="Arial" w:eastAsia="Arial" w:cs="Arial"/>
                <w:color w:val="000000"/>
                <w:position w:val="0"/>
                <w:sz w:val="20"/>
                <w:szCs w:val="20"/>
              </w:rPr>
              <w:t xml:space="preserve">,
Kostenhandbuch</w:t>
            </w:r>
            <w:r>
              <w:rPr>
                <w:rFonts w:ascii="Arial" w:hAnsi="Arial" w:eastAsia="Arial" w:cs="Arial"/>
                <w:color w:val="000000"/>
                <w:position w:val="3"/>
                <w:sz w:val="18"/>
                <w:szCs w:val="18"/>
                <w:vertAlign w:val="superscript"/>
              </w:rPr>
              <w:t xml:space="preserve">3</w:t>
            </w:r>
            <w:r>
              <w:rPr>
                <w:rFonts w:ascii="Arial" w:hAnsi="Arial" w:eastAsia="Arial" w:cs="Arial"/>
                <w:color w:val="000000"/>
                <w:position w:val="0"/>
                <w:sz w:val="20"/>
                <w:szCs w:val="20"/>
              </w:rPr>
              <w:t xml:space="preserve">, Rz 1.200 mwN).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063920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353320986">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53805906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9599340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440413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893349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2641391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1381103">
    <w:multiLevelType w:val="hybridMultilevel"/>
    <w:lvl w:ilvl="0" w:tplc="14815795">
      <w:start w:val="1"/>
      <w:numFmt w:val="decimal"/>
      <w:lvlText w:val="%1."/>
      <w:lvlJc w:val="left"/>
      <w:pPr>
        <w:ind w:left="720" w:hanging="360"/>
      </w:pPr>
    </w:lvl>
    <w:lvl w:ilvl="1" w:tplc="14815795" w:tentative="1">
      <w:start w:val="1"/>
      <w:numFmt w:val="lowerLetter"/>
      <w:lvlText w:val="%2."/>
      <w:lvlJc w:val="left"/>
      <w:pPr>
        <w:ind w:left="1440" w:hanging="360"/>
      </w:pPr>
    </w:lvl>
    <w:lvl w:ilvl="2" w:tplc="14815795" w:tentative="1">
      <w:start w:val="1"/>
      <w:numFmt w:val="lowerRoman"/>
      <w:lvlText w:val="%3."/>
      <w:lvlJc w:val="right"/>
      <w:pPr>
        <w:ind w:left="2160" w:hanging="180"/>
      </w:pPr>
    </w:lvl>
    <w:lvl w:ilvl="3" w:tplc="14815795" w:tentative="1">
      <w:start w:val="1"/>
      <w:numFmt w:val="decimal"/>
      <w:lvlText w:val="%4."/>
      <w:lvlJc w:val="left"/>
      <w:pPr>
        <w:ind w:left="2880" w:hanging="360"/>
      </w:pPr>
    </w:lvl>
    <w:lvl w:ilvl="4" w:tplc="14815795" w:tentative="1">
      <w:start w:val="1"/>
      <w:numFmt w:val="lowerLetter"/>
      <w:lvlText w:val="%5."/>
      <w:lvlJc w:val="left"/>
      <w:pPr>
        <w:ind w:left="3600" w:hanging="360"/>
      </w:pPr>
    </w:lvl>
    <w:lvl w:ilvl="5" w:tplc="14815795" w:tentative="1">
      <w:start w:val="1"/>
      <w:numFmt w:val="lowerRoman"/>
      <w:lvlText w:val="%6."/>
      <w:lvlJc w:val="right"/>
      <w:pPr>
        <w:ind w:left="4320" w:hanging="180"/>
      </w:pPr>
    </w:lvl>
    <w:lvl w:ilvl="6" w:tplc="14815795" w:tentative="1">
      <w:start w:val="1"/>
      <w:numFmt w:val="decimal"/>
      <w:lvlText w:val="%7."/>
      <w:lvlJc w:val="left"/>
      <w:pPr>
        <w:ind w:left="5040" w:hanging="360"/>
      </w:pPr>
    </w:lvl>
    <w:lvl w:ilvl="7" w:tplc="14815795" w:tentative="1">
      <w:start w:val="1"/>
      <w:numFmt w:val="lowerLetter"/>
      <w:lvlText w:val="%8."/>
      <w:lvlJc w:val="left"/>
      <w:pPr>
        <w:ind w:left="5760" w:hanging="360"/>
      </w:pPr>
    </w:lvl>
    <w:lvl w:ilvl="8" w:tplc="14815795" w:tentative="1">
      <w:start w:val="1"/>
      <w:numFmt w:val="lowerRoman"/>
      <w:lvlText w:val="%9."/>
      <w:lvlJc w:val="right"/>
      <w:pPr>
        <w:ind w:left="6480" w:hanging="180"/>
      </w:pPr>
    </w:lvl>
  </w:abstractNum>
  <w:abstractNum w:abstractNumId="11381102">
    <w:multiLevelType w:val="hybridMultilevel"/>
    <w:lvl w:ilvl="0" w:tplc="82369721">
      <w:start w:val="1"/>
      <w:numFmt w:val="decimal"/>
      <w:lvlText w:val="%1."/>
      <w:lvlJc w:val="left"/>
      <w:pPr>
        <w:ind w:left="720" w:hanging="360"/>
      </w:pPr>
    </w:lvl>
    <w:lvl w:ilvl="1" w:tplc="82369721" w:tentative="1">
      <w:start w:val="1"/>
      <w:numFmt w:val="lowerLetter"/>
      <w:lvlText w:val="%2."/>
      <w:lvlJc w:val="left"/>
      <w:pPr>
        <w:ind w:left="1440" w:hanging="360"/>
      </w:pPr>
    </w:lvl>
    <w:lvl w:ilvl="2" w:tplc="82369721" w:tentative="1">
      <w:start w:val="1"/>
      <w:numFmt w:val="lowerRoman"/>
      <w:lvlText w:val="%3."/>
      <w:lvlJc w:val="right"/>
      <w:pPr>
        <w:ind w:left="2160" w:hanging="180"/>
      </w:pPr>
    </w:lvl>
    <w:lvl w:ilvl="3" w:tplc="82369721" w:tentative="1">
      <w:start w:val="1"/>
      <w:numFmt w:val="decimal"/>
      <w:lvlText w:val="%4."/>
      <w:lvlJc w:val="left"/>
      <w:pPr>
        <w:ind w:left="2880" w:hanging="360"/>
      </w:pPr>
    </w:lvl>
    <w:lvl w:ilvl="4" w:tplc="82369721" w:tentative="1">
      <w:start w:val="1"/>
      <w:numFmt w:val="lowerLetter"/>
      <w:lvlText w:val="%5."/>
      <w:lvlJc w:val="left"/>
      <w:pPr>
        <w:ind w:left="3600" w:hanging="360"/>
      </w:pPr>
    </w:lvl>
    <w:lvl w:ilvl="5" w:tplc="82369721" w:tentative="1">
      <w:start w:val="1"/>
      <w:numFmt w:val="lowerRoman"/>
      <w:lvlText w:val="%6."/>
      <w:lvlJc w:val="right"/>
      <w:pPr>
        <w:ind w:left="4320" w:hanging="180"/>
      </w:pPr>
    </w:lvl>
    <w:lvl w:ilvl="6" w:tplc="82369721" w:tentative="1">
      <w:start w:val="1"/>
      <w:numFmt w:val="decimal"/>
      <w:lvlText w:val="%7."/>
      <w:lvlJc w:val="left"/>
      <w:pPr>
        <w:ind w:left="5040" w:hanging="360"/>
      </w:pPr>
    </w:lvl>
    <w:lvl w:ilvl="7" w:tplc="82369721" w:tentative="1">
      <w:start w:val="1"/>
      <w:numFmt w:val="lowerLetter"/>
      <w:lvlText w:val="%8."/>
      <w:lvlJc w:val="left"/>
      <w:pPr>
        <w:ind w:left="5760" w:hanging="360"/>
      </w:pPr>
    </w:lvl>
    <w:lvl w:ilvl="8" w:tplc="82369721" w:tentative="1">
      <w:start w:val="1"/>
      <w:numFmt w:val="lowerRoman"/>
      <w:lvlText w:val="%9."/>
      <w:lvlJc w:val="right"/>
      <w:pPr>
        <w:ind w:left="6480" w:hanging="180"/>
      </w:pPr>
    </w:lvl>
  </w:abstractNum>
  <w:abstractNum w:abstractNumId="431068513">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2274510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1381101">
    <w:multiLevelType w:val="hybridMultilevel"/>
    <w:lvl w:ilvl="0" w:tplc="13001641">
      <w:start w:val="1"/>
      <w:numFmt w:val="decimal"/>
      <w:lvlText w:val="%1."/>
      <w:lvlJc w:val="left"/>
      <w:pPr>
        <w:ind w:left="720" w:hanging="360"/>
      </w:pPr>
    </w:lvl>
    <w:lvl w:ilvl="1" w:tplc="13001641" w:tentative="1">
      <w:start w:val="1"/>
      <w:numFmt w:val="lowerLetter"/>
      <w:lvlText w:val="%2."/>
      <w:lvlJc w:val="left"/>
      <w:pPr>
        <w:ind w:left="1440" w:hanging="360"/>
      </w:pPr>
    </w:lvl>
    <w:lvl w:ilvl="2" w:tplc="13001641" w:tentative="1">
      <w:start w:val="1"/>
      <w:numFmt w:val="lowerRoman"/>
      <w:lvlText w:val="%3."/>
      <w:lvlJc w:val="right"/>
      <w:pPr>
        <w:ind w:left="2160" w:hanging="180"/>
      </w:pPr>
    </w:lvl>
    <w:lvl w:ilvl="3" w:tplc="13001641" w:tentative="1">
      <w:start w:val="1"/>
      <w:numFmt w:val="decimal"/>
      <w:lvlText w:val="%4."/>
      <w:lvlJc w:val="left"/>
      <w:pPr>
        <w:ind w:left="2880" w:hanging="360"/>
      </w:pPr>
    </w:lvl>
    <w:lvl w:ilvl="4" w:tplc="13001641" w:tentative="1">
      <w:start w:val="1"/>
      <w:numFmt w:val="lowerLetter"/>
      <w:lvlText w:val="%5."/>
      <w:lvlJc w:val="left"/>
      <w:pPr>
        <w:ind w:left="3600" w:hanging="360"/>
      </w:pPr>
    </w:lvl>
    <w:lvl w:ilvl="5" w:tplc="13001641" w:tentative="1">
      <w:start w:val="1"/>
      <w:numFmt w:val="lowerRoman"/>
      <w:lvlText w:val="%6."/>
      <w:lvlJc w:val="right"/>
      <w:pPr>
        <w:ind w:left="4320" w:hanging="180"/>
      </w:pPr>
    </w:lvl>
    <w:lvl w:ilvl="6" w:tplc="13001641" w:tentative="1">
      <w:start w:val="1"/>
      <w:numFmt w:val="decimal"/>
      <w:lvlText w:val="%7."/>
      <w:lvlJc w:val="left"/>
      <w:pPr>
        <w:ind w:left="5040" w:hanging="360"/>
      </w:pPr>
    </w:lvl>
    <w:lvl w:ilvl="7" w:tplc="13001641" w:tentative="1">
      <w:start w:val="1"/>
      <w:numFmt w:val="lowerLetter"/>
      <w:lvlText w:val="%8."/>
      <w:lvlJc w:val="left"/>
      <w:pPr>
        <w:ind w:left="5760" w:hanging="360"/>
      </w:pPr>
    </w:lvl>
    <w:lvl w:ilvl="8" w:tplc="13001641" w:tentative="1">
      <w:start w:val="1"/>
      <w:numFmt w:val="lowerRoman"/>
      <w:lvlText w:val="%9."/>
      <w:lvlJc w:val="right"/>
      <w:pPr>
        <w:ind w:left="6480" w:hanging="180"/>
      </w:pPr>
    </w:lvl>
  </w:abstractNum>
  <w:abstractNum w:abstractNumId="11381100">
    <w:multiLevelType w:val="hybridMultilevel"/>
    <w:lvl w:ilvl="0" w:tplc="375915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381100">
    <w:abstractNumId w:val="11381100"/>
  </w:num>
  <w:num w:numId="11381101">
    <w:abstractNumId w:val="11381101"/>
  </w:num>
  <w:num w:numId="227451036">
    <w:abstractNumId w:val="227451036"/>
  </w:num>
  <w:num w:numId="431068513">
    <w:abstractNumId w:val="431068513"/>
  </w:num>
  <w:num w:numId="11381102">
    <w:abstractNumId w:val="11381102"/>
  </w:num>
  <w:num w:numId="11381103">
    <w:abstractNumId w:val="11381103"/>
  </w:num>
  <w:num w:numId="226413916">
    <w:abstractNumId w:val="226413916"/>
  </w:num>
  <w:num w:numId="189334949">
    <w:abstractNumId w:val="189334949"/>
  </w:num>
  <w:num w:numId="104404138">
    <w:abstractNumId w:val="104404138"/>
  </w:num>
  <w:num w:numId="395993404">
    <w:abstractNumId w:val="395993404"/>
  </w:num>
  <w:num w:numId="538059069">
    <w:abstractNumId w:val="538059069"/>
  </w:num>
  <w:num w:numId="353320986">
    <w:abstractNumId w:val="353320986"/>
  </w:num>
  <w:num w:numId="610639200">
    <w:abstractNumId w:val="6106392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77181336" Type="http://schemas.openxmlformats.org/officeDocument/2006/relationships/numbering" Target="numbering.xml"/><Relationship Id="rId3253951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