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3391385" w:name="document"/>
    <w:bookmarkEnd w:id="63391385"/>
    <w:p/>
    <w:p>
      <w:pPr>
        <w:widowControl w:val="on"/>
        <w:pBdr/>
        <w:spacing w:before="0" w:after="280" w:line="240" w:lineRule="auto"/>
        <w:ind w:left="0" w:right="0"/>
        <w:jc w:val="left"/>
      </w:pPr>
      <w:r>
        <w:rPr>
          <w:rFonts w:ascii="Arial" w:hAnsi="Arial" w:eastAsia="Arial" w:cs="Arial"/>
          <w:color w:val="363A40"/>
          <w:sz w:val="24"/>
          <w:szCs w:val="24"/>
        </w:rPr>
        <w:t xml:space="preserve">Dokument-ID: 1102138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Aufteilungsantrag (§§ 81 ff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gegenständliche Schriftsatzmuster umfasst eine ausführliche
Fassung eines Aufteilungsantrages samt ausführlicher Anmerkungen zu
den Themen Zuständigkeit (§ 114a JN), Aufteilungsmasse, nicht
der Aufteilung unterliegendes Vermögen (§ 82 EheG) und
Antragsfrist (§ 95 EheG).</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Fünfhaus</w:t>
      </w:r>
      <w:r>
        <w:rPr>
          <w:rFonts w:ascii="Arial" w:hAnsi="Arial" w:eastAsia="Arial" w:cs="Arial"/>
          <w:color w:val="000000"/>
          <w:sz w:val="20"/>
          <w:szCs w:val="20"/>
        </w:rPr>
        <w:br/>
        <w:t xml:space="preserve">Gasgasse 1</w:t>
      </w:r>
      <w:r>
        <w:rPr>
          <w:rFonts w:ascii="Arial" w:hAnsi="Arial" w:eastAsia="Arial" w:cs="Arial"/>
          <w:color w:val="000000"/>
          <w:sz w:val="20"/>
          <w:szCs w:val="20"/>
        </w:rPr>
        <w:br/>
        <w:t xml:space="preserve">1150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05.10.2021</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Harald Baum, geb 15.11.1959, Angestellter</w:t>
            </w:r>
            <w:r>
              <w:rPr>
                <w:rFonts w:ascii="Arial" w:hAnsi="Arial" w:eastAsia="Arial" w:cs="Arial"/>
                <w:color w:val="000000"/>
                <w:position w:val="0"/>
                <w:sz w:val="20"/>
                <w:szCs w:val="20"/>
                <w:shd w:val="clear" w:color="auto" w:fill="FFFFFF"/>
              </w:rPr>
              <w:br/>
              <w:t xml:space="preserve">Schulgasse 15</w:t>
            </w:r>
            <w:r>
              <w:rPr>
                <w:rFonts w:ascii="Arial" w:hAnsi="Arial" w:eastAsia="Arial" w:cs="Arial"/>
                <w:color w:val="000000"/>
                <w:position w:val="0"/>
                <w:sz w:val="20"/>
                <w:szCs w:val="20"/>
                <w:shd w:val="clear" w:color="auto" w:fill="FFFFFF"/>
              </w:rPr>
              <w:br/>
              <w:t xml:space="preserve">1150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Ingeborg Baum, geb 29.07.1959, Pensionistin</w:t>
            </w:r>
            <w:r>
              <w:rPr>
                <w:rFonts w:ascii="Arial" w:hAnsi="Arial" w:eastAsia="Arial" w:cs="Arial"/>
                <w:color w:val="000000"/>
                <w:position w:val="0"/>
                <w:sz w:val="20"/>
                <w:szCs w:val="20"/>
                <w:shd w:val="clear" w:color="auto" w:fill="FFFFFF"/>
              </w:rPr>
              <w:br/>
              <w:t xml:space="preserve">Mimosenweg 15</w:t>
            </w:r>
            <w:r>
              <w:rPr>
                <w:rFonts w:ascii="Arial" w:hAnsi="Arial" w:eastAsia="Arial" w:cs="Arial"/>
                <w:color w:val="000000"/>
                <w:position w:val="0"/>
                <w:sz w:val="20"/>
                <w:szCs w:val="20"/>
                <w:shd w:val="clear" w:color="auto" w:fill="FFFFFF"/>
              </w:rPr>
              <w:br/>
              <w:t xml:space="preserve">1130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81 ff EheG (BMG RATG EUR 2.750,–)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13 Beilagen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um Kenntnisnahme sowie Zustellung
sämtlicher gerichtlicher Schriftstücke zuhanden meines
ausgewiesenen Vertreters.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Meine mit der Antragsgegnerin am 22.06.1992 geschlossene Ehe
wurde mit Urteil vom 26.04.2021 zur hg GZ 3 C 14/20v, zugestellt
zuhanden meines ausgewiesenen Vertreters am 30.04.2021, geschieden.
Nachdem sich die gegen dieses Urteil wechselseitig erhobenen
Berufungen letztlich erkennbar bloß gegen den im erstinstanzlichen
Urteil enthaltenen Verschuldensausspruch gerichtet haben, ist das
genannte Urteil in Ansehung des Ausspruches der Ehescheidung mit
28.5.2021 in Rechtskraft erwachsen.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hg Akt 3 C 14/20v, dessen Beischaffung ich beantrage;</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Wesentlicher Bestandteil des ivF aufzuteilenden ehelichen
Vermögens sind zwei Liegenschaften.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Zunächst wurde die Liegenschaft EZ 125 KG 07321 Mistelbach mit
der Anschrift 2130 Mistelbach, Hauptstraße 304 mit Kaufvertrag vom
02.09.1997 erworben und steht in meinem und der Antragsgegnerin
Hälfteeigentum. Die Finanzierung dieses Liegenschaftskaufes
erfolgte zum absolut überwiegenden Teil jedoch aus nicht der
Aufteilung unterliegenden Mitteln meinerseits, was nunmehr
entsprechend zu berücksichtigen ist.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 der Verlassenschaft nach meiner am 13.06.1994 verstorbenen
meiner Mutter, Elisabeth Baum, habe ich neben meinen Brüdern Ernst
und Max 1/3 des vorhandenen Nachlasses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Wesentlicher Teil desselben war die Liegenschaft EZ 632 KG 01654
Essling mit der Anschrift 1220 Wien, Feldstraße 27.</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Liegenschaft wurde in der Folge von meinen Brüdern und mir
mit Kaufvertrag vom 14.09.1995 an Andrea und Gabriel Fellner um
ATS 1,900.000,– verkauft und es wurde der Verkaufserlös
zwischen uns gedrittelt.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daher aus dem Verkauf der Liegenschaft sowie übrigen
Verlassenschaftswerten, nämlich aus dem Verkauf der Zuchthunde
meiner Mutter, die niemand von uns übernehmen konnte, eines Pkw und
sonstigen Fahrnissen rund ATS 800.000,– sowie noch ein
Sparbuch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genannten Mittel habe ich sodann vorübergehend auf einem
Wertpapierdepot veranlagt.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haben die Antragsgegnerin und ich die
Liegenschaft in Mistelbach gefunden und mit Kaufvertrag vom
02.09.1997 um ATS 1,245.000,– (EUR 90.477,–)
erworben.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Finanzierung erfolgte einerseits aus dem auf meinem
Wertpapierdepot „geparkt“ gewesenen Anteil aus dem Verkauf des
ererbten Hauses meiner Mutter in Höhe von ATS 800.000,–
(EUR 58.140,–) sowie aus einem bei der Bank Austria am
16.09.1997 über ATS 460.000,– (EUR 33.430,–)
aufgenommenen Kredit mit der Nr 1224 708 263. Namhaftere
eheliche Ersparnisse waren zu jener Zeit nicht vorhanden und wurden
jedenfalls auch nicht zum Erwerb des Hauses verwendet.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Vonseiten der Antragsgegnerin wurden meiner Erinnerung nach
ATS 30.000,– für die angefallenen Kosten des Notars
beigesteuert.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Haus wurden in weiterer Folge keine größeren Investitionen
vorgenommen, vor Einzug haben wir aus gemeinsamen Mitteln aber noch
die Tapeten und die Teppiche erneuert und teilweise neue
Wohnzimmermöbel angeschafft.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erwähnte Kredit wurde grundsätzlich aus meinem Einkommen
während laufender ehelicher Gemeinschaft bezahlt.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Jahr 2013 habe ich schließlich nach meinem am 20.09.2013
verstorbenen Onkel Hans Schüller zusammen mit meinem Bruder Ernst
eine weitere Erbschaft gemacht, wobei die Aktiva des Nachlasses
neben einem Bankguthaben in Höhe von EUR 21.342,57 im
Wesentlichen in der Eigentumswohnung unseres Onkels in 1030 Wien,
Badgasse 154 bestanden. Wesentlicher Teil der Passiva war ein noch
aushaftendes Wohnbauförderungsdarlehen der MA 50 in Höhe von
EUR 10.443,13. Weiters habe ich aus der Lebensversicherung
meines Onkels EUR 39.228,40 erhalten.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haben mein Bruder und ich die ererbte Wohnung
mit Kaufvertrag vom 20.05.2014 um EUR 105.000,– verkauft.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den dergestalt ererbten Mitteln habe ich sodann im Jänner
2014 mit EUR 9.626,06 den noch aushaftenden Kredit aus dem
Erwerb des Hauses in Mistelbach vorzeitig getilgt.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Damit ergibt sich, dass der ursprüngliche Kaufpreis des Hauses
in Höhe von EUR 90.477,– zu rund 75 % aus nicht der
Aufteilung unterliegenden finanziellen Mitteln meinerseits
aufgebracht wurde, was nun bei der Aufteilung des ehelichen
Vermögens jedenfalls berücksichtigt werden muss.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Ausgehend von einem aktuellen Verkehrswert des Objektes von mE
rund EUR 50.000,– (das Haus ist mittlerweile ziemlich
abgewohnt) errechnet sich demnach eine Ausgleichszahlung in Höhe
von maximal EUR 6.250,–, welche ich gegen Übertragung ihres
Hälfteanteiles an die Antragsgegnerin leisten müsste.</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Einantwortungsurkunde zu 2 A 16/94s des BG Favoriten (Beilage
./A);</w:t>
                  </w:r>
                  <w:r>
                    <w:rPr>
                      <w:rFonts w:ascii="Arial" w:hAnsi="Arial" w:eastAsia="Arial" w:cs="Arial"/>
                      <w:color w:val="000000"/>
                      <w:position w:val="0"/>
                      <w:sz w:val="20"/>
                      <w:szCs w:val="20"/>
                      <w:shd w:val="clear" w:color="auto" w:fill="FFFFFF"/>
                    </w:rPr>
                    <w:br/>
                    <w:t xml:space="preserve">Beschluss zu 2 A 16/94s vom 17.02.1995 (Beilage ./B);</w:t>
                  </w:r>
                  <w:r>
                    <w:rPr>
                      <w:rFonts w:ascii="Arial" w:hAnsi="Arial" w:eastAsia="Arial" w:cs="Arial"/>
                      <w:color w:val="000000"/>
                      <w:position w:val="0"/>
                      <w:sz w:val="20"/>
                      <w:szCs w:val="20"/>
                      <w:shd w:val="clear" w:color="auto" w:fill="FFFFFF"/>
                    </w:rPr>
                    <w:br/>
                    <w:t xml:space="preserve">Kaufvertrag vom 14.09.1995 (Beilage ./C);</w:t>
                  </w:r>
                  <w:r>
                    <w:rPr>
                      <w:rFonts w:ascii="Arial" w:hAnsi="Arial" w:eastAsia="Arial" w:cs="Arial"/>
                      <w:color w:val="000000"/>
                      <w:position w:val="0"/>
                      <w:sz w:val="20"/>
                      <w:szCs w:val="20"/>
                      <w:shd w:val="clear" w:color="auto" w:fill="FFFFFF"/>
                    </w:rPr>
                    <w:br/>
                    <w:t xml:space="preserve">Grundbuchauszug EZ 125 KG 07321 Mistelbach (Beilage ./D);</w:t>
                  </w:r>
                  <w:r>
                    <w:rPr>
                      <w:rFonts w:ascii="Arial" w:hAnsi="Arial" w:eastAsia="Arial" w:cs="Arial"/>
                      <w:color w:val="000000"/>
                      <w:position w:val="0"/>
                      <w:sz w:val="20"/>
                      <w:szCs w:val="20"/>
                      <w:shd w:val="clear" w:color="auto" w:fill="FFFFFF"/>
                    </w:rPr>
                    <w:br/>
                    <w:t xml:space="preserve">Kaufvertrag vom 02.09.1997 (Beilage ./E);</w:t>
                  </w:r>
                  <w:r>
                    <w:rPr>
                      <w:rFonts w:ascii="Arial" w:hAnsi="Arial" w:eastAsia="Arial" w:cs="Arial"/>
                      <w:color w:val="000000"/>
                      <w:position w:val="0"/>
                      <w:sz w:val="20"/>
                      <w:szCs w:val="20"/>
                      <w:shd w:val="clear" w:color="auto" w:fill="FFFFFF"/>
                    </w:rPr>
                    <w:br/>
                    <w:t xml:space="preserve">Schreiben der Bank Austria vom 23.01.2002 (Beilage ./F;</w:t>
                  </w:r>
                  <w:r>
                    <w:rPr>
                      <w:rFonts w:ascii="Arial" w:hAnsi="Arial" w:eastAsia="Arial" w:cs="Arial"/>
                      <w:color w:val="000000"/>
                      <w:position w:val="0"/>
                      <w:sz w:val="20"/>
                      <w:szCs w:val="20"/>
                      <w:shd w:val="clear" w:color="auto" w:fill="FFFFFF"/>
                    </w:rPr>
                    <w:br/>
                    <w:t xml:space="preserve">Einantwortungsbeschluss zu 8 A 17/13h des BG Innere Stadt Wien vom
30.12.2013 (Beilage ./G);</w:t>
                  </w:r>
                  <w:r>
                    <w:rPr>
                      <w:rFonts w:ascii="Arial" w:hAnsi="Arial" w:eastAsia="Arial" w:cs="Arial"/>
                      <w:color w:val="000000"/>
                      <w:position w:val="0"/>
                      <w:sz w:val="20"/>
                      <w:szCs w:val="20"/>
                      <w:shd w:val="clear" w:color="auto" w:fill="FFFFFF"/>
                    </w:rPr>
                    <w:br/>
                    <w:t xml:space="preserve">Protokoll zu 8 A 17/13h vom 20.12.2013 (Beilage ./H);</w:t>
                  </w:r>
                  <w:r>
                    <w:rPr>
                      <w:rFonts w:ascii="Arial" w:hAnsi="Arial" w:eastAsia="Arial" w:cs="Arial"/>
                      <w:color w:val="000000"/>
                      <w:position w:val="0"/>
                      <w:sz w:val="20"/>
                      <w:szCs w:val="20"/>
                      <w:shd w:val="clear" w:color="auto" w:fill="FFFFFF"/>
                    </w:rPr>
                    <w:br/>
                    <w:t xml:space="preserve">Abrechnungsschein der Lebensversicherung vom 07.01.2014 (Beilage
./I);</w:t>
                  </w:r>
                  <w:r>
                    <w:rPr>
                      <w:rFonts w:ascii="Arial" w:hAnsi="Arial" w:eastAsia="Arial" w:cs="Arial"/>
                      <w:color w:val="000000"/>
                      <w:position w:val="0"/>
                      <w:sz w:val="20"/>
                      <w:szCs w:val="20"/>
                      <w:shd w:val="clear" w:color="auto" w:fill="FFFFFF"/>
                    </w:rPr>
                    <w:br/>
                    <w:t xml:space="preserve">Kaufvertrag vom 20.05.2014 (Beilage ./J);</w:t>
                  </w:r>
                  <w:r>
                    <w:rPr>
                      <w:rFonts w:ascii="Arial" w:hAnsi="Arial" w:eastAsia="Arial" w:cs="Arial"/>
                      <w:color w:val="000000"/>
                      <w:position w:val="0"/>
                      <w:sz w:val="20"/>
                      <w:szCs w:val="20"/>
                      <w:shd w:val="clear" w:color="auto" w:fill="FFFFFF"/>
                    </w:rPr>
                    <w:br/>
                    <w:t xml:space="preserve">Konvolut an Kontoauszügen hinsichtlich des Kredites Bank Austria
Nr 1224 708 263 (Beilage ./K);</w:t>
                  </w:r>
                  <w:r>
                    <w:rPr>
                      <w:rFonts w:ascii="Arial" w:hAnsi="Arial" w:eastAsia="Arial" w:cs="Arial"/>
                      <w:color w:val="000000"/>
                      <w:position w:val="0"/>
                      <w:sz w:val="20"/>
                      <w:szCs w:val="20"/>
                      <w:shd w:val="clear" w:color="auto" w:fill="FFFFFF"/>
                    </w:rPr>
                    <w:br/>
                    <w:t xml:space="preserve">einzuholendes Sachverständigengutachten aus dem
Immobilienfach;</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wurde aus gemeinsamen ehelichen Mitteln ein
Gartengrundstück EZ 748 KG 07321 Mistelbach mit Kaufvertrag vom
03.08.2001 um rund ATS 50.000,– erworben. Hinsichtlich dieser
Liegenschaft war im Grundbuch lediglich die Antragsgegnerin
eingetragen.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 ist aktuell von einem Verkehrswert dieser Liegenschaft in
Höhe von zumindest EUR 13.000,– auszugehen.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Mit einem Verbleib dieser Liegenschaft im Eigentum der
Antragsgegnerin wäre ich grundsätzlich einverstanden, sie wird mir
hierfür allerdings eine angemessene Ausgleichszahlung von
EUR 6.500,– zu leisten haben.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Grundbuchsauszug EZ 748 KG 07321 Mistelbach (Beilage ./L);</w:t>
                  </w:r>
                  <w:r>
                    <w:rPr>
                      <w:rFonts w:ascii="Arial" w:hAnsi="Arial" w:eastAsia="Arial" w:cs="Arial"/>
                      <w:color w:val="000000"/>
                      <w:position w:val="0"/>
                      <w:sz w:val="20"/>
                      <w:szCs w:val="20"/>
                      <w:shd w:val="clear" w:color="auto" w:fill="FFFFFF"/>
                    </w:rPr>
                    <w:br/>
                    <w:t xml:space="preserve">Kaufvertrag vom 03.08.2001 (Beilage ./M);</w:t>
                  </w:r>
                  <w:r>
                    <w:rPr>
                      <w:rFonts w:ascii="Arial" w:hAnsi="Arial" w:eastAsia="Arial" w:cs="Arial"/>
                      <w:color w:val="000000"/>
                      <w:position w:val="0"/>
                      <w:sz w:val="20"/>
                      <w:szCs w:val="20"/>
                      <w:shd w:val="clear" w:color="auto" w:fill="FFFFFF"/>
                    </w:rPr>
                    <w:br/>
                    <w:t xml:space="preserve">im Bedarfsfall einzuholendes Sachverständigengutachten aus dem
Immobilienfach;</w:t>
                  </w:r>
                  <w:r>
                    <w:rPr>
                      <w:rFonts w:ascii="Arial" w:hAnsi="Arial" w:eastAsia="Arial" w:cs="Arial"/>
                      <w:color w:val="000000"/>
                      <w:position w:val="0"/>
                      <w:sz w:val="20"/>
                      <w:szCs w:val="20"/>
                      <w:shd w:val="clear" w:color="auto" w:fill="FFFFFF"/>
                    </w:rPr>
                    <w:br/>
                    <w:t xml:space="preserve">PV.</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verfügt die Antragsgegnerin über einen Pkw Renault Gr.
Scenic, den wir aus ehelichen Mitten im Jahr 2010/2011 um
EUR 17.000,– angeschafft haben und dessen aktueller Wert rund
EUR 5.000,– ausmachen dürfte.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Verbleib dieses Wagens bei der Antragsgegnerin ist daher
jedenfalls bei der gegenständlichen Aufteilungsentscheidung
angemessen wertmäßig durch eine Ausgleichszahlung von
EUR 2.500,– zu meinen Gunsten zu berücksichtigen.</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Mangels Einigung in Güte mit der Antragsgegnerin stelle ich
daher den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Antrag,</w:t>
      </w:r>
    </w:p>
    <w:p>
      <w:pPr>
        <w:numPr>
          <w:ilvl w:val="0"/>
          <w:numId w:val="3063600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vorhandene eheliche Gebrauchsvermögen sowie die ehelichen
Ersparnisse in der Art und Weise zu teilen, dass der im Eigentum
der Antragsgegnerin, Ingeborg Baum, stehende 1/2-Anteil BLNr 5 der
Liegenschaft EZ 125 KG 07321 Mistelbach in mein Eigentum,
übertragen sowie die Antragsgegnerin mir gegenüber darüber hinaus
zur Leistung einer Ausgleichszahlung von EUR 2.750,–
verpflichtet werde, dies binnen 14 Tagen ab Rechtskraft bei
sonstiger Exekution.</w:t>
      </w:r>
    </w:p>
    <w:p>
      <w:pPr>
        <w:numPr>
          <w:ilvl w:val="0"/>
          <w:numId w:val="3063600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Jedenfalls wolle die Antragsgegnerin auch verpflichtet werden,
mir die Kosten dieses Verfahrens zuhanden meines rechtsfreundlichen
Vertreters (§ 19a RAO) zu ersetzen, dies binnen 14 Tagen ab
Rechtskraft bei sonstiger Exekution.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Harald Baum</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146388" w:name="note1"/>
            <w:bookmarkEnd w:id="54146388"/>
            <w:bookmarkStart w:id="2415176760992" w:name="note1"/>
            <w:r>
              <w:rPr>
                <w:rFonts w:ascii="Arial" w:hAnsi="Arial" w:eastAsia="Arial" w:cs="Arial"/>
                <w:b/>
                <w:bCs/>
                <w:color w:val="000000"/>
                <w:position w:val="0"/>
                <w:sz w:val="20"/>
                <w:szCs w:val="20"/>
              </w:rPr>
              <w:t xml:space="preserve">[1]</w:t>
            </w:r>
            <w:bookmarkEnd w:id="241517676099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Ehe geschieden, aufgehoben oder für nichtig erklärt, so
sind das eheliche Gebrauchsvermögen und die ehelichen Ersparnisse
zwischen den Ehegatten aufzuteilen (§ 81 Abs 1 S 1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Dadurch ergibt sich freilich keine Änderung des gesetzlichen
Güterstandes der Gütertrennung entsprechend § 1237 ABGB und es
behält jeder Ehegatte dementsprechend auch nach der Scheidung sein
in die Ehe eingebrachtes sowie sein während der Ehe erworbenes
Eigentum; vielmehr kommt es im Rahmen der nachehelichen Aufteilung
zu einer Art Zugewinnausgleich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2020, 946).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4864677" w:name="note2"/>
            <w:bookmarkEnd w:id="84864677"/>
            <w:bookmarkStart w:id="1788926585334" w:name="note2"/>
            <w:r>
              <w:rPr>
                <w:rFonts w:ascii="Arial" w:hAnsi="Arial" w:eastAsia="Arial" w:cs="Arial"/>
                <w:b/>
                <w:bCs/>
                <w:color w:val="000000"/>
                <w:position w:val="0"/>
                <w:sz w:val="20"/>
                <w:szCs w:val="20"/>
              </w:rPr>
              <w:t xml:space="preserve">[2]</w:t>
            </w:r>
            <w:bookmarkEnd w:id="178892658533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Zuständigkeit in außerstreitigen Eheangelegenheiten und
Angelegenheiten eingetragener Partnerschaften, sohin also auch das
Aufteilungsverfahren nach §§ 81 ff EheG (vgl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93 AußStrG
Rz 1), gelten gem § 114a Abs 1 JN die §§ 76
Abs 1 und 104 JN sinngemäß, dh es ist das Gericht
ausschließlich zuständig, in dessen Sprengel die Parteien ihren
gemeinsamen gewöhnlichen Aufenthalt haben oder zuletzt gehabt
haben. Hat zur Zeit der Einleitung des Verfahrens keine der
Parteien ihren gewöhnlichen Aufenthalt in diesem Sprengel oder
haben sie im Inland keinen gemeinsamen gewöhnlichen Aufenthalt
gehabt, so ist das Gericht ausschließlich zuständig, in dessen
Sprengel der gewöhnliche Aufenthalt des Antragsgegners oder, falls
ein solcher gewöhnlicher Aufenthalt im Inland fehlt, der
gewöhnliche Aufenthalt des Antragstellers liegt, sonst das
Bezirksgericht Innere Stadt Wien.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Sachlich zuständig sind die Bezirksgerichte (§ 104a
JN).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handelt sich grundsätzlich um einen ausschließlichen
Gerichtsstand, Prorogation iSd § 104 JN ist allerdings möglich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aaO, 959).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839385" w:name="note3"/>
            <w:bookmarkEnd w:id="9839385"/>
            <w:bookmarkStart w:id="2195014074222" w:name="note3"/>
            <w:r>
              <w:rPr>
                <w:rFonts w:ascii="Arial" w:hAnsi="Arial" w:eastAsia="Arial" w:cs="Arial"/>
                <w:b/>
                <w:bCs/>
                <w:color w:val="000000"/>
                <w:position w:val="0"/>
                <w:sz w:val="20"/>
                <w:szCs w:val="20"/>
              </w:rPr>
              <w:t xml:space="preserve">[3]</w:t>
            </w:r>
            <w:bookmarkEnd w:id="219501407422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unterliegt grundsätzlich die eheliche
Errungenschaft, also das, was die Ehegatten während der Ehe
erarbeitet oder erspart haben (RIS-Justiz RS0057486), nicht jedoch
etwa aus der Zeit vor der Eheschließung stammende Ersparnisse oder
deren Surrogate (RIS-Justiz RS0057349).</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Voraussetzung für die Zugehörigkeit einer Sache zum
Aufteilungsvermögen ist, dass sie zum Zeitpunkt der Aufhebung der
ehelichen Gemeinschaft zum ehelichen Gebrauchsvermögen oder zu den
ehelichen Ersparnissen gehört (RIS-Justiz RS0057331). Beim Begriff
der „ehelichen Lebensgemeinschaft“ handelt es sich hier um die
Ehegemeinschaft als Inbegriff der häuslichen, geistigen,
seelisch-körperlichen, kulturellen und wirtschaftlichen
Gemeinsamkeit der Ehegatten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2017, Rz 28). Diese ist also nicht mit der
bloßen häuslichen Gemeinschaft iSv § 55 EheG gleichzusetzen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81 EheG Anm 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Aufteilung unterliegen zudem grundsätzlich auch nur
Vermögenswerte, die im Aufteilungszeitpunkt noch vorhanden waren (1
Ob 262/15h EF-Z 2016/94) oder deren Wert gem § 91 Abs 1
EheG in die Aufteilung einzubeziehen ist (1 Ob 244/14k EF-Z
2015/127).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Eheliches Gebrauchsvermögen sind die beweglichen oder
unbeweglichen körperlichen Sachen, die während aufrechter ehelicher
Lebensgemeinschaft dem Gebrauch beider Ehegatten gedient haben;
hierzu gehören auch der Hausrat und die Ehewohnung (§ 81
Abs 2 EheG). Der Begriff des ehelichen Gebrauchsvermögens iSd
§ 81 Abs 2 EheG setzt kein Eigentumsrecht voraus, sondern
nur das Bestehen dinglicher oder obligatorischer Rechte an
unbeweglichen Sachen oder Anwartschaftsrechte an beweglichen Sachen
(RIS-Justiz RS0113632), sodass bspw auch ein Superädifikat samt
Pachtrecht an einer Parzelle eheliches Gebrauchsvermögen darstellen
kann (7 Ob 74/09x iFamZ 2009/246).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Eheliche Ersparnisse sind demgegenüber Wertanlagen, gleich
welcher Art, die die Ehegatten während aufrechter ehelicher
Lebensgemeinschaft angesammelt haben und die ihrer Art nach
üblicherweise für eine Verwertung bestimmt sind (§ 81
Abs 3 EheG; 1 Ob 542/95). Die Legaldefinition der Ersparnisse
verweist auf Wertanlagen jeder Art, demnach auf Sachen schlechthin,
körperliche und unkörperliche, bewegliche und unbewegliche,
verbrauchbare und unverbrauchbare (RIS-Justiz RS0057792). Sie
müssen also ihrem Wesen nach, dh nach der Verkehrsauffassung für
eine Verwertung bestimmt sein (RIS-Justiz RS0057524), sei es nun
substantiell (Veräußerung) oder durch die Erzielung von
Erträgnissen (RIS-Justiz RS0057331). Unter ehelichen Ersparnissen
sind daher im Wesentlichen Bargeld und Kontoguthaben (1 Ob 191/12p
EF-Z 2013/52), Wertpapiere und Spareinlagen aber auch Gold und
Kunstgegenstände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Eherecht, 2014, § 81
EheG Rz 12) zu verstehen. Lebensversicherungen werden nach hA
als eine zur Verwertung bestimmte Sparform gesehen und deshalb in
die Aufteilung einbezogen (1 Ob 117/11d Zak 2011/612 = EF-Z
2011/135). Unter den Begriff der ehelichen Ersparnisse können aber
auch Liegenschaften fallen (RIS-Justiz RS0057809), insbesondere
wenn sie keiner Eigennutzung der Ehegatten dienen (5 Ob 229/18i Zak
2019/494 = EvBl 2020/25).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Während der Ehe erworbenen Anwartschaftsrechte sind demgegenüber
nicht einzubeziehen, weil zum Zeitpunkt der Aufhebung der ehelichen
Gemeinschaft noch nicht feststeht, ob ein aus der Anwartschaft
resultierender Geldbetrag überhaupt anfallen wird (1 Ob 53/02d SZ
2003/48; 3 Ob 122/04v SZ 2005/62). Nicht zu den ehelichen
Ersparnissen zählen daher bspw Einzahlungen in eine Pensionskasse
in der Erwartung eines späteren Pensionsbezugs, wenn Früchte aus
diesen Zahlungen noch nicht angefallen sind (RIS-Justiz RS0057331)
oder der (noch nicht ausgeübte) Anspruch des Dienstnehmers auf eine
Pensionsvorauszahlung als Optionsrecht (1 Ob 117/11d Zak 2011/612 =
EF-Z 2011/135).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Mischformen von „Zukunftsvorsorgeprodukten“, die nicht auf
den ersten Blick als der Aufteilung unterliegend oder aber von ihr
ausgenommen qualifiziert werden können, ist zu fragen, ob es sich
nach dem grundsätzlichen Abgrenzungsmodell des § 81 Abs 3
EheG um ihrer Art nach üblicherweise – also nach der
Verkehrsauffassung – für eine Verwertung bestimmter Wertanlagen
handelt. (T2); Beisatz: Dies trifft nun auf typischerweise der
Altersvorsorge dienende „Finanzprodukte" nicht zu, sodass diese –
von Missbrauchsfällen abgesehen – in die nacheheliche Aufteilung
regelmäßig nicht einzubeziehen sind (1 Ob 187/09w EF-Z 2010/10 =
Zak 2010/13).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ein Belastungs- und Veräußerungsverbot stellt kein
Vermögensobjekt dar, sondern ist ein höchstpersönliches nicht
verwertbares Recht (RIS-Justiz RS0010805).</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51171" w:name="note4"/>
            <w:bookmarkEnd w:id="5451171"/>
            <w:bookmarkStart w:id="47617151962" w:name="note4"/>
            <w:r>
              <w:rPr>
                <w:rFonts w:ascii="Arial" w:hAnsi="Arial" w:eastAsia="Arial" w:cs="Arial"/>
                <w:b/>
                <w:bCs/>
                <w:color w:val="000000"/>
                <w:position w:val="0"/>
                <w:sz w:val="20"/>
                <w:szCs w:val="20"/>
              </w:rPr>
              <w:t xml:space="preserve">[4]</w:t>
            </w:r>
            <w:bookmarkEnd w:id="4761715196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Ausnahmen werden von § 82 EheG definiert: Demnach
unterliegen der Aufteilung nicht Sachen, die</w:t>
            </w:r>
          </w:p>
          <w:p>
            <w:pPr>
              <w:numPr>
                <w:ilvl w:val="0"/>
                <w:numId w:val="42753147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 Ehegatte in die Ehe eingebracht, von Todes wegen erworben
oder ihm ein Dritter geschenkt hat;</w:t>
            </w:r>
          </w:p>
          <w:p>
            <w:pPr>
              <w:numPr>
                <w:ilvl w:val="0"/>
                <w:numId w:val="42753147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dem persönlichen Gebrauch eines Ehegatten allein oder der
Ausübung seines Berufes dienen;</w:t>
            </w:r>
          </w:p>
          <w:p>
            <w:pPr>
              <w:numPr>
                <w:ilvl w:val="0"/>
                <w:numId w:val="42753147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 einem Unternehmen gehören; oder</w:t>
            </w:r>
          </w:p>
          <w:p>
            <w:pPr>
              <w:numPr>
                <w:ilvl w:val="0"/>
                <w:numId w:val="42753147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Anteile an einem Unternehmen sind, außer es handelt sich um
bloße Wertanlagen.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Substitutionsprinzip bleiben auch Gegenstände, die
während der Ehe von einem Ehegatten mit von § 82 Abs 1
Z 1 EheG erfassten Mitteln bzw aus dem Erlös der nach dieser
Bestimmung ausgenommenen Sachen angeschafft und damit an deren
Stelle getreten sind, von der Aufteilung ausgenommen
(RIS-RS0057478; RIS-Justiz RS0057305; RIS-Justiz RS0057322).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Behauptet ein Ehegatte, dass in seinem Eigentum stehende
Vermögenswerte nach § 82 Abs 1 EheG der Aufteilung
entzogen seien, hat er das Vorliegen des Ausnahmetatbestands zu
beweisen (RIS-Justiz RS0130108) sowie auch dafür, dass während der
Ehe angesammelte Ersparnisse lediglich ein Surrogat für die von
einem Ehegatten in die Ehe eingebrachten Sachen darstellen (1 Ob
162/18g EF‑Z 2019/11).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allerdings, dass werterhöhende Aufwendungen
während der Ehe auf ein in die Ehe eingebrachtes, von Todes wegen
erworbenes oder geschenktes Vermögen grundsätzlich in die
Aufteilung einzubeziehen sind (</w:t>
            </w:r>
            <w:r>
              <w:rPr>
                <w:rFonts w:ascii="Arial" w:hAnsi="Arial" w:eastAsia="Arial" w:cs="Arial"/>
                <w:i/>
                <w:iCs/>
                <w:color w:val="000000"/>
                <w:position w:val="0"/>
                <w:sz w:val="20"/>
                <w:szCs w:val="20"/>
              </w:rPr>
              <w:t xml:space="preserve">Hopf/Kathrein</w:t>
            </w:r>
            <w:r>
              <w:rPr>
                <w:rFonts w:ascii="Arial" w:hAnsi="Arial" w:eastAsia="Arial" w:cs="Arial"/>
                <w:color w:val="000000"/>
                <w:position w:val="0"/>
                <w:sz w:val="20"/>
                <w:szCs w:val="20"/>
              </w:rPr>
              <w:t xml:space="preserve">, aaO,
§ 82 EheG Rz 8). Dies kann auch in der gemeinsamen
Tilgung eines Kredites während aufrechter ehelicher
Lebensgemeinschaft bestehen: Eine von einem oder beiden Ehepartnern
in die Ehe eingebrachte aber fremdfinanzierte Liegenschaft erfährt
eine als eheliche Errungenschaft anzusehende und in die Aufteilung
miteinzubeziehende Wertsteigerung, soweit der Kredit aus während
aufrechter ehelicher Lebensgemeinschaft erwirtschafteten Mitteln
vermindert wird (RIS-Justiz RS0130671).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voreheliche Beiträge der Streitteile in dem die
Aufteilungsmasse bildenden Einfamilienhaus (Ehewohnung) wertbildend
aufgegangen, so müssen sie wertverfolgend berücksichtigt werden
(RIS-Justiz RS0057490), wobei es idR hier zu verhältnismäßigen
Berechnungen kommt (vgl dazu die ausführliche Darstellung bei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2017, Rz 64).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7357075" w:name="note5"/>
            <w:bookmarkEnd w:id="87357075"/>
            <w:bookmarkStart w:id="9059950902735" w:name="note5"/>
            <w:r>
              <w:rPr>
                <w:rFonts w:ascii="Arial" w:hAnsi="Arial" w:eastAsia="Arial" w:cs="Arial"/>
                <w:b/>
                <w:bCs/>
                <w:color w:val="000000"/>
                <w:position w:val="0"/>
                <w:sz w:val="20"/>
                <w:szCs w:val="20"/>
              </w:rPr>
              <w:t xml:space="preserve">[5]</w:t>
            </w:r>
            <w:bookmarkEnd w:id="905995090273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Komplizierter kann es bei Schenkungen zwischen den Ehegatten im
Laufe der Ehe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Schenkungen eines Ehegatten an den anderen während aufrechter
Ehe sind insoweit neutral, als sie weder sonst der Aufteilung
unterliegende Sachen dem Aufteilungsverfahren entziehen, noch die
Zuständigkeit des Außerstreitrichters für jene Sachen begründen,
die aus einem der in § 82 Abs 1 Z 1 EheG genannten
Gründe nicht der Aufteilung unterliegen (RIS-Justiz RS0113355).
Eine aus ehelicher Errungenschaft, also aus während der ehelichen
Gemeinschaft Erarbeitetem oder Erspartem erworbene Sache, fällt
also (auch dann) in die Aufteilung, wenn sie dem anderen Ehepartner
geschenkt wurde (1 Ob 208/19y EF‑Z 2020/91 [</w:t>
            </w:r>
            <w:r>
              <w:rPr>
                <w:rFonts w:ascii="Arial" w:hAnsi="Arial" w:eastAsia="Arial" w:cs="Arial"/>
                <w:i/>
                <w:iCs/>
                <w:color w:val="000000"/>
                <w:position w:val="0"/>
                <w:sz w:val="20"/>
                <w:szCs w:val="20"/>
              </w:rPr>
              <w:t xml:space="preserve">Obergruber]</w:t>
            </w:r>
            <w:r>
              <w:rPr>
                <w:rFonts w:ascii="Arial" w:hAnsi="Arial" w:eastAsia="Arial" w:cs="Arial"/>
                <w:color w:val="000000"/>
                <w:position w:val="0"/>
                <w:sz w:val="20"/>
                <w:szCs w:val="20"/>
              </w:rPr>
              <w:t xml:space="preserve"> =
iFamZ 2020/139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Schenkt ein Ehegatte dem anderen während aufrechter Ehe ein
Vermögensgut, das er gem § 82 Abs 1 Z 1 EheG in die
Ehe eingebracht, von Todes wegen erworben oder seinerseits (von
einem Dritten) geschenkt erhalten hat, ist dieses in die Aufteilung
einzubeziehen; anderes hätte nur dann zu gelten, wenn der
Beschenkte nachweisen konnte, dass die Schenkung aus (vom Bestand
der Ehe unabhängiger) Freigebigkeit erfolgte (1 Ob 208/19y EF‑Z
2020/91 [Obergruber] = iFamZ 2020/139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Soweit der beschenkte Ehegatte nicht behauptet und bewiesen hat,
dass ausnahmsweise eine Schenkung aus (vom Bestand der Ehe
unabhängiger) Freigebigkeit vorliegt, die bei der nachehelichen
Aufteilung nicht als Vermögensbeitrag des Schenkers zu werten wäre,
ist demnach das einem Ehegatten während der Ehe vom anderen
geschenkte Vermögensgut (oder der daran geschenkte Anteil) in die
Aufteilung einzubeziehen, und zwar auch wenn es der (schenkende)
Ehepartner in die Ehe eingebracht, von Todes wegen erworben oder
seinerseits (von einem Dritten) geschenkt erhalten hat (1 Ob
208/19y EF‑Z 2020/91 [Obergruber] = iFamZ 2020/139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Aufteilung solcher Geschenke wird es in ständiger
Rechtsprechung als billig angesehen, den Anteil oder die Sache auf
den Schenkenden rückzuübertragen (RIS-Justiz RS0113358) und dem
Umstand, dass das Vermögensgut allein von der Seite des
Geschenkgebers stammt, dadurch Rechnung zu tragen, dass bei der
Ermittlung einer dem Geschenkgeber (ansonsten) aufzuerlegenden
Ausgleichsbetrags der Wert des Geschenks außer Ansatz zu bleiben
hat (RIS-Justiz RS0115775; RIS-Justiz RS0113358). Dies führt in der
Regel dazu, dass dem seinerzeit beschenkten Ehegatten für die
Rückübertragung des geschenkten Anteils kein wertmäßiger Ausgleich
zugebilligt wird (1 Ob 97/19z uva), nur eine auf Arbeitsleistungen
oder Investitionen der Ehegatten beruhende Wertsteigerung wäre
angemessen zu berücksichtigen (1 Ob 208/19y EF-Z 2020/91
[Obergruber] = iFamZ 2020/139 [Deixler-Hübner]).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2349270" w:name="note6"/>
            <w:bookmarkEnd w:id="12349270"/>
            <w:bookmarkStart w:id="2752675885195" w:name="note6"/>
            <w:r>
              <w:rPr>
                <w:rFonts w:ascii="Arial" w:hAnsi="Arial" w:eastAsia="Arial" w:cs="Arial"/>
                <w:b/>
                <w:bCs/>
                <w:color w:val="000000"/>
                <w:position w:val="0"/>
                <w:sz w:val="20"/>
                <w:szCs w:val="20"/>
              </w:rPr>
              <w:t xml:space="preserve">[6]</w:t>
            </w:r>
            <w:bookmarkEnd w:id="275267588519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Besonderheiten gelten für die Ehewohnung: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Ehewohnung im Sinne des § 81 Abs 2 EheG ist jene
Wohnung, in der die Ehegatten bei Wirksamwerden der Scheidung im
gemeinsamen Haushalt leben oder zuletzt gelebt haben. Auch ein Haus
kann Ehewohnung sein, und zwar insoweit, als es für die ehelichen
Zwecke verwendet worden ist (RIS-Justiz RS0057678).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mehrere Wohnungen können Ehewohnungen sein (6 Ob 533/87
ua).</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Wohnung ist keine Ehewohnung, wenn sie von den Ehegatten
während aufrechter ehelicher Lebensgemeinschaft zu keinem Zeitpunkt
zur gemeinsamen Lebensführung benützt wurde. Auf die Widmung der
Räumlichkeiten durch die Ehegatten bzw deren Absicht kommt es daher
nicht an (RIS-Justiz RS0131428).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Ehewohnung, die ein Ehegatte in die Ehe eingebracht oder von
Todes wegen erworben oder die ihm ein Dritter geschenkt hat, ist in
die Aufteilung dann einzubeziehen, wenn dies vereinbart wurde, wenn
der andere Ehegatte auf ihre Weiterbenützung zur Sicherung seiner
Lebensbedürfnisse angewiesen ist oder wenn ein gemeinsames Kind an
ihrer Weiterbenützung einen berücksichtigungswürdigen Bedarf hat.
Gleiches gilt für den Hausrat, wenn der andere Ehegatte auf seine
Weiterbenützung zur Sicherung seiner Lebensbedürfnisse angewiesen
ist (§ 82 Abs 2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624090" w:name="note7"/>
            <w:bookmarkEnd w:id="80624090"/>
            <w:bookmarkStart w:id="8136008941908" w:name="note7"/>
            <w:r>
              <w:rPr>
                <w:rFonts w:ascii="Arial" w:hAnsi="Arial" w:eastAsia="Arial" w:cs="Arial"/>
                <w:b/>
                <w:bCs/>
                <w:color w:val="000000"/>
                <w:position w:val="0"/>
                <w:sz w:val="20"/>
                <w:szCs w:val="20"/>
              </w:rPr>
              <w:t xml:space="preserve">[7]</w:t>
            </w:r>
            <w:bookmarkEnd w:id="813600894190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Bewertungsstichtag für das der Aufteilung unterliegende Vermögen
ist der Zeitpunkt der Entscheidung erster Instanz im
Aufteilungsverfahren (1 Ob 266/15x EF-Z 2016/93
[Gitschthaler]).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318096" w:name="note8"/>
            <w:bookmarkEnd w:id="39318096"/>
            <w:bookmarkStart w:id="2959966934602" w:name="note8"/>
            <w:r>
              <w:rPr>
                <w:rFonts w:ascii="Arial" w:hAnsi="Arial" w:eastAsia="Arial" w:cs="Arial"/>
                <w:b/>
                <w:bCs/>
                <w:color w:val="000000"/>
                <w:position w:val="0"/>
                <w:sz w:val="20"/>
                <w:szCs w:val="20"/>
              </w:rPr>
              <w:t xml:space="preserve">[8]</w:t>
            </w:r>
            <w:bookmarkEnd w:id="29599669346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Aufteilung sind die Schulden, die mit dem ehelichen
Gebrauchsvermögen und den ehelichen Ersparnissen in einem inneren
Zusammenhang stehen, in Anschlag zu bringen (§ 81 Abs 1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Ebenso wie es für die Aufteilung ohne Belang ist, wem bestimmte
Bestandteile des Aktivvermögens „gehören“, kommt es auch bei
Schulden nicht darauf an, welcher Ehegatte gegenüber einem dritten
Gläubiger verpflichtet ist. Entscheidend ist ausschließlich, ob es
sich iSd § 81 Abs 1 Satz 2 EheG um Schulden handelt, die
mit dem ehelichen Gebrauchsvermögen und den ehelichen Ersparnissen
in einem inneren Zusammenhang stehen (RIS-Justiz RS0131955).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Vom Verkehrswert einer Sache zur Zeit der Entscheidung sind in
der Regel die konnexen Schulden im Zeitpunkt der Aufhebung der
ehelichen Lebensgemeinschaft abzuziehen, das Ergebnis dieser
Differenz ist entsprechend dem Aufteilungsschlüssel zwischen den
Ehegatten aufzuteilen (RIS-Justiz RS0132057).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sich daraus errechnenden Ausgleichszahlung ist jener Betrag
hinzuzurechnen, mit dem der Ehepartner, der die Sache nicht erhält,
nach Aufhebung der ehelichen Gemeinschaft Rückzahlungen geleistet
hat, die Reduktion des Kreditsaldos durch den Ehegatten, dem die
Sache verbleibt oder der sie erhält, vermindert dagegen die
Ausgleichszahlung nicht, weil ihm dieser Wert zukommt (RIS-Justiz
RS0132057).</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1777748" w:name="note9"/>
            <w:bookmarkEnd w:id="61777748"/>
            <w:bookmarkStart w:id="725692225584" w:name="note9"/>
            <w:r>
              <w:rPr>
                <w:rFonts w:ascii="Arial" w:hAnsi="Arial" w:eastAsia="Arial" w:cs="Arial"/>
                <w:b/>
                <w:bCs/>
                <w:color w:val="000000"/>
                <w:position w:val="0"/>
                <w:sz w:val="20"/>
                <w:szCs w:val="20"/>
              </w:rPr>
              <w:t xml:space="preserve">[9]</w:t>
            </w:r>
            <w:bookmarkEnd w:id="72569222558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Aufteilung ist nach Billigkeit vorzunehmen. Dabei ist
besonders auf Gewicht und Umfang des Beitrags jedes Ehegatten zur
Anschaffung des ehelichen Gebrauchsvermögens und zur Ansammlung der
ehelichen Ersparnisse sowie auf das Wohl der Kinder Bedacht zu
nehmen; weiters auf Schulden, die mit dem ehelichen Lebensaufwand
zusammenhängen, soweit sie nicht ohnedies nach § 81 EheG in
Anschlag zu bringen sind (§ 83 Abs 1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2826544" w:name="note10"/>
            <w:bookmarkEnd w:id="42826544"/>
            <w:bookmarkStart w:id="2679823847456" w:name="note10"/>
            <w:r>
              <w:rPr>
                <w:rFonts w:ascii="Arial" w:hAnsi="Arial" w:eastAsia="Arial" w:cs="Arial"/>
                <w:b/>
                <w:bCs/>
                <w:color w:val="000000"/>
                <w:position w:val="0"/>
                <w:sz w:val="20"/>
                <w:szCs w:val="20"/>
              </w:rPr>
              <w:t xml:space="preserve">[10]</w:t>
            </w:r>
            <w:bookmarkEnd w:id="267982384745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hat das Gericht im Fall eines strittigen
Aufteilungsverfahrens nach § 94 Abs 1 EheG, soweit eine
Aufteilung nach den übrigen Bestimmungen nicht erzielt werden kann,
einem Ehegatten die Leistung einer nach Billigkeit zu bemessenden
Ausgleichszahlung an den anderen aufzuerlegen.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Gericht könnte hierbei auch eine Stundung der
Ausgleichszahlung oder deren Entrichtung in Teilbeträgen, tunlich
gegen Sicherstellung, anordnen, wenn dies für den
Ausgleichspflichtigen wirtschaftlich notwendig und dem
Ausgleichsberechtigten zumutbar ist (§ 94 Abs 2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22089" w:name="note11"/>
            <w:bookmarkEnd w:id="9322089"/>
            <w:bookmarkStart w:id="6643469004928" w:name="note11"/>
            <w:r>
              <w:rPr>
                <w:rFonts w:ascii="Arial" w:hAnsi="Arial" w:eastAsia="Arial" w:cs="Arial"/>
                <w:b/>
                <w:bCs/>
                <w:color w:val="000000"/>
                <w:position w:val="0"/>
                <w:sz w:val="20"/>
                <w:szCs w:val="20"/>
              </w:rPr>
              <w:t xml:space="preserve">[11]</w:t>
            </w:r>
            <w:bookmarkEnd w:id="66434690049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Anspruch auf Aufteilung ehelichen Gebrauchsvermögens und
ehelicher Ersparnisse erlischt, wenn er nicht binnen einem Jahr
nach Eintritt der Rechtskraft der Scheidung, Aufhebung oder
Nichtigerklärung der Ehe durch Vertrag oder Vergleich anerkannt
oder gerichtlich geltend gemacht wird (§ 95 EheG).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Hierauf ist in der Praxis besonderes Augenmerk zu legen: Nach
herrschender Auffassung ist die Frist des § 95 EheG eine von
Amts wegen wahrzunehmende materiell-rechtliche Fallfrist
(Präklusivfrist), deren Nichteinhaltung zum Anspruchsverlust führt,
ohne dass auch nur eine Naturalobligation bestehen bleibt (7 Ob
317/03y).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Dies bedeutet, dass die Geltendmachung eines der nachehelichen
Aufteilung unterliegenden Anspruches nach Ablauf der Frist oder
nach Abschluss des Aufteilungsverfahrens im streitigen Rechtsweg
nicht zur Zurückweisung der Klage, sondern zu einer Abweisung der
Klage aus materiell-rechtlichen Gründen führen muss (RIS-Justiz
RS0110013). Der Präklusivfrist des § 95 EheG unterliegen
allerdings nur Aufteilungsansprüche, also Ansprüche auf
Rechtsgestaltung iSd §§ 81 f EheG, nicht aber damit
möglicherweise aus dem Zivilrecht ableitbare konkurrierende
alternative Ansprüche (RIS-Justiz RS0110013).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Frist des § 95 EheG sind die allgemeinen
Verjährungsbestimmungen analog anzuwenden, also va auch was die
Hemmung der Verjährung durch außergerichtliche Vergleichsgespräche
anlangt (3 Ob 205/08f iFamZ 2009/127). Der durch den Ablauf einer
Präklusivfrist Begünstigte muss also die Ausübung des Rechts auch
nach verstrichener Frist dann noch zulassen oder das bereits
erloschene Recht als bestehend hinnehmen, wenn seine Berufung auf
diese Ausschlussfrist gegen Treu und Glauben verstoßen würde (6 Ob
66/10i iFamZ 2010/207 = ZfRV-LS 2010/52). Eine Mediation bewirkt
jedenfalls auch die Hemmung der Frist nach § 95 EheG
(§ 22 Abs 1 ZivmedG).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Unterbrechungswirkung des rechtzeitigen Aufteilungsantrags
setzt darüber hinaus die „gehörige Fortsetzung“ des Verfahrens
voraus (6 Ob 66/10i iFamZ 2010/207); hier ist also in der Praxis
darauf zu achten, dass es zu keinem Verfahrensstillstand etwa nach
Ablauf eines dreimonatigen Ruhens des Verfahrens kommt, falls
danach nicht binnen angemessener Frist wieder ein
Fortsetzungsantrag gestellt wird.</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Antrag auf Bewilligung der Verfahrenshilfe einschließlich
der Beigebung eines Rechtsanwalts „für das Aufteilungsverfahren
nach den §§ 81 ff EheG“ unterbricht die Frist des § 95
EheG auch ohne Bezeichnung der Aufteilungsmasse (RIS-Justiz
RS0128863).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Lauf der einjährigen Frist beginnt mit der formellen
Rechtkraft (§ 411 ZPO) des Urteils über die Ehescheidung
(RIS-Justiz RS0041294).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Dann, wenn eine Ehe durch Teilurteil aufgelöst und die
Verschuldensfrage dem Endurteil vorbehalten wurde, wird die Frist
für einen Aufteilungsantrag mit Eintritt der Rechtskraft (bereits)
des Teilurteiles in Lauf gesetzt (7 Ob 211/06i).</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Fall eines von beiden Teilen abgegebenen
Rechtsmittelverzichtes nach mündlicher Urteilsverkündung beginnt
die Frist nach § 95 EheG daher schon zu diesem Zeitpunkt und
nicht erst mit Zustellung der schriftlichen Ausfertigung der
Entscheidung (8 Ob 2016/96w).</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mangelnde Anfechtung des Scheidungsausspruchs ist einem
Rechtsmittelverzicht gleichzuhalten und es tritt daher auch hier
bereits formelle Rechtskraft ein (1 Ob 35/00d). Wurde also ein das
Scheidungsurteil nur hinsichtlich des erfolgten
Verschuldensausspruches angefochten, nicht aber in Ansehung des
Ausspruches der Scheidung an sich, ist die formelle Rechtskraft der
Scheidung hier spätestens mit der Einbringung des Rechtsmittels
gegen das von ihm bloß im Verschuldensausspruch bekämpfte
Scheidungsurteil anzunehmen, weil die mangelnde Anfechtung des
Scheidungsausspruchs (insoweit) einem Rechtsmittelverzicht
gleichzuhalten ist (1 Ob 281/97y).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fristgerechter Anrufung des Außerstreitgerichtes besteht
eine quantitative Bindung des Gerichtes an die Parteianträge und
damit das Gebot, nicht mehr und nichts anderes aufzuteilen, als zur
Masse gehörig behauptet wurde (RIS-Justiz RS0109615).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allerdings schon mangels Bindung des Gerichtes an die
Aufteilungsvorschläge der Parteien eine Änderung dieser Vorschläge,
etwa über die Höhe einer Ausgleichszahlung, auch nach Ablauf der
Jahresfrist des § 95 EheG noch möglich (RIS-Justiz
RS0109615).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Parteien des Aufteilungsverfahrens können aber nach Ablauf
der Jahresfrist nicht die Zuweisung weiterer, nicht rechtzeitig
behaupteter Vermögensgegenstände verlangen (1 Ob 46/13s iFamZ
2013/147).</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Frage der Festsetzung einer allfälligen Ausgleichszahlung
gem § 94 EheG beziehungsweise die Forderung einer solchen oder
die Ausdehnung eines auf eine Ausgleichszahlung gerichteten
Begehrens wird davon nicht berührt (1 Ob 46/13s iFamZ 2013/147).
Auch der jüngeren, mittlerweile gefestigten Judikatur des Obersten
Gerichtshofs können die Parteien also nach Ablauf der Jahresfrist
des § 95 EheG zwar nicht die Zuweisung weiterer, nicht
rechtzeitig behaupteter Vermögensgegenstände verlangen, dennoch
aber (weitere) Ausgleichszahlungen fordern (1 Ob 111/14a EF‑Z
2015/47 [Gitschthaler]).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der Judikatur ist sogar die Änderung eines
Aufteilungsvorschlags einer Partei auch noch nach Ablauf der
Jahresfrist des § 95 EheG möglich (1 Ob 26/11x). Dies gilt
umso mehr für den (erstmaligen) Gegenantrag (1 Ob 26/21m iFamZ
2021/127 [Deixler-Hübner]).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Antrag nach § 98 EheG kann in einem fristgerecht
eingeleiteten Aufteilungsverfahren bis zu dessen Abschluss, und
damit auch nach Ablauf der Jahresfrist des § 95 EheG, gestellt
werden, wenn die bezughabende Verbindlichkeit Gegenstand der
Aufteilungsentscheidung ist (RIS-Justiz RS0119988).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110585" w:name="note12"/>
            <w:bookmarkEnd w:id="97110585"/>
            <w:bookmarkStart w:id="723419899119" w:name="note12"/>
            <w:r>
              <w:rPr>
                <w:rFonts w:ascii="Arial" w:hAnsi="Arial" w:eastAsia="Arial" w:cs="Arial"/>
                <w:b/>
                <w:bCs/>
                <w:color w:val="000000"/>
                <w:position w:val="0"/>
                <w:sz w:val="20"/>
                <w:szCs w:val="20"/>
              </w:rPr>
              <w:t xml:space="preserve">[12]</w:t>
            </w:r>
            <w:bookmarkEnd w:id="72341989911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Verfahren über die Aufteilung ehelichen Gebrauchsvermögens
und ehelicher Ersparnisse (§§ 81 bis 98 Ehegesetz) fällt eine
Gerichtsgebühr in Höhe von EUR 440,– an (TP 12 lit a
Z 1 GGG).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7786314" w:name="note13"/>
            <w:bookmarkEnd w:id="57786314"/>
            <w:bookmarkStart w:id="5640098234052" w:name="note13"/>
            <w:r>
              <w:rPr>
                <w:rFonts w:ascii="Arial" w:hAnsi="Arial" w:eastAsia="Arial" w:cs="Arial"/>
                <w:b/>
                <w:bCs/>
                <w:color w:val="000000"/>
                <w:position w:val="0"/>
                <w:sz w:val="20"/>
                <w:szCs w:val="20"/>
              </w:rPr>
              <w:t xml:space="preserve">[13]</w:t>
            </w:r>
            <w:bookmarkEnd w:id="564009823405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Im Aufteilungsverfahren gebührt Kostenersatz grundsätzlich nach
dem durch allfällige Billigkeitserwägungen abgemilderten
Erfolgsprinzip (1 Ob 117/11d EF-Z 2011/144).</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ist davon auszugehen, dass in
Aufteilungsverfahren, die besonders streitähnlich geprägt sind,
kostenmäßig als Grundregel Erfolg und Misserfolg zu kompensieren
sind, also eine Quotenkompensation iSv § 43/1 ZPO vorzunehmen
ist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Aufteilungsrecht, Rz 464; EFSlg
118.856).</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Vgl zu Fragen des Streitwertes das Muster zum Aufteilungsantrag
mit Auslandsbezug.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753147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0636003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6679903">
    <w:multiLevelType w:val="hybridMultilevel"/>
    <w:lvl w:ilvl="0" w:tplc="22826255">
      <w:start w:val="1"/>
      <w:numFmt w:val="decimal"/>
      <w:lvlText w:val="%1."/>
      <w:lvlJc w:val="left"/>
      <w:pPr>
        <w:ind w:left="720" w:hanging="360"/>
      </w:pPr>
    </w:lvl>
    <w:lvl w:ilvl="1" w:tplc="22826255" w:tentative="1">
      <w:start w:val="1"/>
      <w:numFmt w:val="lowerLetter"/>
      <w:lvlText w:val="%2."/>
      <w:lvlJc w:val="left"/>
      <w:pPr>
        <w:ind w:left="1440" w:hanging="360"/>
      </w:pPr>
    </w:lvl>
    <w:lvl w:ilvl="2" w:tplc="22826255" w:tentative="1">
      <w:start w:val="1"/>
      <w:numFmt w:val="lowerRoman"/>
      <w:lvlText w:val="%3."/>
      <w:lvlJc w:val="right"/>
      <w:pPr>
        <w:ind w:left="2160" w:hanging="180"/>
      </w:pPr>
    </w:lvl>
    <w:lvl w:ilvl="3" w:tplc="22826255" w:tentative="1">
      <w:start w:val="1"/>
      <w:numFmt w:val="decimal"/>
      <w:lvlText w:val="%4."/>
      <w:lvlJc w:val="left"/>
      <w:pPr>
        <w:ind w:left="2880" w:hanging="360"/>
      </w:pPr>
    </w:lvl>
    <w:lvl w:ilvl="4" w:tplc="22826255" w:tentative="1">
      <w:start w:val="1"/>
      <w:numFmt w:val="lowerLetter"/>
      <w:lvlText w:val="%5."/>
      <w:lvlJc w:val="left"/>
      <w:pPr>
        <w:ind w:left="3600" w:hanging="360"/>
      </w:pPr>
    </w:lvl>
    <w:lvl w:ilvl="5" w:tplc="22826255" w:tentative="1">
      <w:start w:val="1"/>
      <w:numFmt w:val="lowerRoman"/>
      <w:lvlText w:val="%6."/>
      <w:lvlJc w:val="right"/>
      <w:pPr>
        <w:ind w:left="4320" w:hanging="180"/>
      </w:pPr>
    </w:lvl>
    <w:lvl w:ilvl="6" w:tplc="22826255" w:tentative="1">
      <w:start w:val="1"/>
      <w:numFmt w:val="decimal"/>
      <w:lvlText w:val="%7."/>
      <w:lvlJc w:val="left"/>
      <w:pPr>
        <w:ind w:left="5040" w:hanging="360"/>
      </w:pPr>
    </w:lvl>
    <w:lvl w:ilvl="7" w:tplc="22826255" w:tentative="1">
      <w:start w:val="1"/>
      <w:numFmt w:val="lowerLetter"/>
      <w:lvlText w:val="%8."/>
      <w:lvlJc w:val="left"/>
      <w:pPr>
        <w:ind w:left="5760" w:hanging="360"/>
      </w:pPr>
    </w:lvl>
    <w:lvl w:ilvl="8" w:tplc="22826255" w:tentative="1">
      <w:start w:val="1"/>
      <w:numFmt w:val="lowerRoman"/>
      <w:lvlText w:val="%9."/>
      <w:lvlJc w:val="right"/>
      <w:pPr>
        <w:ind w:left="6480" w:hanging="180"/>
      </w:pPr>
    </w:lvl>
  </w:abstractNum>
  <w:abstractNum w:abstractNumId="8989005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1322450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6679902">
    <w:multiLevelType w:val="hybridMultilevel"/>
    <w:lvl w:ilvl="0" w:tplc="62957253">
      <w:start w:val="1"/>
      <w:numFmt w:val="decimal"/>
      <w:lvlText w:val="%1."/>
      <w:lvlJc w:val="left"/>
      <w:pPr>
        <w:ind w:left="720" w:hanging="360"/>
      </w:pPr>
    </w:lvl>
    <w:lvl w:ilvl="1" w:tplc="62957253" w:tentative="1">
      <w:start w:val="1"/>
      <w:numFmt w:val="lowerLetter"/>
      <w:lvlText w:val="%2."/>
      <w:lvlJc w:val="left"/>
      <w:pPr>
        <w:ind w:left="1440" w:hanging="360"/>
      </w:pPr>
    </w:lvl>
    <w:lvl w:ilvl="2" w:tplc="62957253" w:tentative="1">
      <w:start w:val="1"/>
      <w:numFmt w:val="lowerRoman"/>
      <w:lvlText w:val="%3."/>
      <w:lvlJc w:val="right"/>
      <w:pPr>
        <w:ind w:left="2160" w:hanging="180"/>
      </w:pPr>
    </w:lvl>
    <w:lvl w:ilvl="3" w:tplc="62957253" w:tentative="1">
      <w:start w:val="1"/>
      <w:numFmt w:val="decimal"/>
      <w:lvlText w:val="%4."/>
      <w:lvlJc w:val="left"/>
      <w:pPr>
        <w:ind w:left="2880" w:hanging="360"/>
      </w:pPr>
    </w:lvl>
    <w:lvl w:ilvl="4" w:tplc="62957253" w:tentative="1">
      <w:start w:val="1"/>
      <w:numFmt w:val="lowerLetter"/>
      <w:lvlText w:val="%5."/>
      <w:lvlJc w:val="left"/>
      <w:pPr>
        <w:ind w:left="3600" w:hanging="360"/>
      </w:pPr>
    </w:lvl>
    <w:lvl w:ilvl="5" w:tplc="62957253" w:tentative="1">
      <w:start w:val="1"/>
      <w:numFmt w:val="lowerRoman"/>
      <w:lvlText w:val="%6."/>
      <w:lvlJc w:val="right"/>
      <w:pPr>
        <w:ind w:left="4320" w:hanging="180"/>
      </w:pPr>
    </w:lvl>
    <w:lvl w:ilvl="6" w:tplc="62957253" w:tentative="1">
      <w:start w:val="1"/>
      <w:numFmt w:val="decimal"/>
      <w:lvlText w:val="%7."/>
      <w:lvlJc w:val="left"/>
      <w:pPr>
        <w:ind w:left="5040" w:hanging="360"/>
      </w:pPr>
    </w:lvl>
    <w:lvl w:ilvl="7" w:tplc="62957253" w:tentative="1">
      <w:start w:val="1"/>
      <w:numFmt w:val="lowerLetter"/>
      <w:lvlText w:val="%8."/>
      <w:lvlJc w:val="left"/>
      <w:pPr>
        <w:ind w:left="5760" w:hanging="360"/>
      </w:pPr>
    </w:lvl>
    <w:lvl w:ilvl="8" w:tplc="62957253" w:tentative="1">
      <w:start w:val="1"/>
      <w:numFmt w:val="lowerRoman"/>
      <w:lvlText w:val="%9."/>
      <w:lvlJc w:val="right"/>
      <w:pPr>
        <w:ind w:left="6480" w:hanging="180"/>
      </w:pPr>
    </w:lvl>
  </w:abstractNum>
  <w:abstractNum w:abstractNumId="36679901">
    <w:multiLevelType w:val="hybridMultilevel"/>
    <w:lvl w:ilvl="0" w:tplc="89852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679901">
    <w:abstractNumId w:val="36679901"/>
  </w:num>
  <w:num w:numId="36679902">
    <w:abstractNumId w:val="36679902"/>
  </w:num>
  <w:num w:numId="613224506">
    <w:abstractNumId w:val="613224506"/>
  </w:num>
  <w:num w:numId="898900542">
    <w:abstractNumId w:val="898900542"/>
  </w:num>
  <w:num w:numId="36679903">
    <w:abstractNumId w:val="36679903"/>
  </w:num>
  <w:num w:numId="306360030">
    <w:abstractNumId w:val="306360030"/>
  </w:num>
  <w:num w:numId="427531472">
    <w:abstractNumId w:val="4275314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58547268" Type="http://schemas.openxmlformats.org/officeDocument/2006/relationships/numbering" Target="numbering.xml"/><Relationship Id="rId33891684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