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9786382" w:name="document"/>
    <w:bookmarkEnd w:id="19786382"/>
    <w:p/>
    <w:p>
      <w:pPr>
        <w:widowControl w:val="on"/>
        <w:pBdr/>
        <w:spacing w:before="0" w:after="280" w:line="240" w:lineRule="auto"/>
        <w:ind w:left="0" w:right="0"/>
        <w:jc w:val="left"/>
      </w:pPr>
      <w:r>
        <w:rPr>
          <w:rFonts w:ascii="Arial" w:hAnsi="Arial" w:eastAsia="Arial" w:cs="Arial"/>
          <w:color w:val="363A40"/>
          <w:sz w:val="24"/>
          <w:szCs w:val="24"/>
        </w:rPr>
        <w:t xml:space="preserve">Dokument-ID: 1018939 | Elisabeth Mace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Ablehnung eines Richters wegen Ausschließung</w:t>
      </w:r>
    </w:p>
    <w:p>
      <w:pPr>
        <w:widowControl w:val="on"/>
        <w:pBdr/>
        <w:spacing w:before="140" w:after="240" w:line="288" w:lineRule="auto"/>
        <w:ind w:left="0" w:right="0"/>
        <w:jc w:val="left"/>
      </w:pPr>
      <w:r>
        <w:rPr>
          <w:rFonts w:ascii="Arial" w:hAnsi="Arial" w:eastAsia="Arial" w:cs="Arial"/>
          <w:color w:val="000000"/>
          <w:sz w:val="20"/>
          <w:szCs w:val="20"/>
        </w:rPr>
        <w:t xml:space="preserve">An den</w:t>
      </w:r>
      <w:r>
        <w:rPr>
          <w:rFonts w:ascii="Arial" w:hAnsi="Arial" w:eastAsia="Arial" w:cs="Arial"/>
          <w:color w:val="000000"/>
          <w:sz w:val="20"/>
          <w:szCs w:val="20"/>
        </w:rPr>
        <w:br/>
        <w:t xml:space="preserve">Herrn Präsidenten des</w:t>
      </w:r>
      <w:r>
        <w:rPr>
          <w:rFonts w:ascii="Arial" w:hAnsi="Arial" w:eastAsia="Arial" w:cs="Arial"/>
          <w:color w:val="000000"/>
          <w:sz w:val="20"/>
          <w:szCs w:val="20"/>
        </w:rPr>
        <w:br/>
        <w:t xml:space="preserve">… -gerichtes</w:t>
      </w:r>
    </w:p>
    <w:p>
      <w:pPr>
        <w:widowControl w:val="on"/>
        <w:pBdr/>
        <w:spacing w:before="140" w:after="240" w:line="288" w:lineRule="auto"/>
        <w:ind w:left="0" w:right="0"/>
        <w:jc w:val="right"/>
      </w:pPr>
      <w:r>
        <w:rPr>
          <w:rFonts w:ascii="Arial" w:hAnsi="Arial" w:eastAsia="Arial" w:cs="Arial"/>
          <w:color w:val="000000"/>
          <w:sz w:val="20"/>
          <w:szCs w:val="20"/>
        </w:rPr>
        <w:t xml:space="preserve">…, am …</w:t>
      </w:r>
      <w:r>
        <w:rPr>
          <w:rFonts w:ascii="Arial" w:hAnsi="Arial" w:eastAsia="Arial" w:cs="Arial"/>
          <w:color w:val="000000"/>
          <w:sz w:val="20"/>
          <w:szCs w:val="20"/>
        </w:rPr>
        <w:b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Strafsache gegen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Beschuldigter (Angeklagter)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146, 147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Ablehnung eines Richters
wegen Ausschließung nach § 44 StPO</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Strafsache wird die Ausschließung des
Richters Mag. … beantragt.</w:t>
      </w:r>
    </w:p>
    <w:p>
      <w:pPr>
        <w:widowControl w:val="on"/>
        <w:pBdr/>
        <w:spacing w:before="140" w:after="240" w:line="288" w:lineRule="auto"/>
        <w:ind w:left="0" w:right="0"/>
        <w:jc w:val="left"/>
      </w:pPr>
      <w:r>
        <w:rPr>
          <w:rFonts w:ascii="Arial" w:hAnsi="Arial" w:eastAsia="Arial" w:cs="Arial"/>
          <w:color w:val="000000"/>
          <w:sz w:val="20"/>
          <w:szCs w:val="20"/>
        </w:rPr>
        <w:t xml:space="preserve">Begründet wird dies damit,</w:t>
      </w:r>
    </w:p>
    <w:p>
      <w:pPr>
        <w:numPr>
          <w:ilvl w:val="0"/>
          <w:numId w:val="781431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der Richter selbst (oder einer seiner Angehörigen) im
gegenständlichen Verfahren … zB Staatsanwalt, Privatankläger,
Privatbeteiligter, Beschuldigter, Verteidiger oder Vertreter ist
oder war oder durch die Straftat geschädigt worden sein könnte
(§ 43 Abs 1 Z 1 StPO),</w:t>
      </w:r>
    </w:p>
    <w:p>
      <w:pPr>
        <w:numPr>
          <w:ilvl w:val="0"/>
          <w:numId w:val="781431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der Richter außerhalb seiner Dienstverrichtungen Zeuge der
infrage stehenden Handlung gewesen oder in der Sache als Zeuge oder
Sachverständiger vernommen worden ist oder vernommen werden soll
(§ 43 Abs 1 Z 2 StPO),</w:t>
      </w:r>
    </w:p>
    <w:p>
      <w:pPr>
        <w:numPr>
          <w:ilvl w:val="0"/>
          <w:numId w:val="781431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Gründe vorliegen, die geeignet sind, die volle
Unvoreingenommenheit und Unparteilichkeit des Richters in Zweifel
zu ziehen,</w:t>
      </w:r>
    </w:p>
    <w:p>
      <w:pPr>
        <w:numPr>
          <w:ilvl w:val="0"/>
          <w:numId w:val="7814315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dass der zuständige Richter im Ermittlungsverfahren Beweise
aufgenommen hat, ein gegen den Beschuldigten gerichtetes
Zwangsmittel bewilligt, über einen von ihm erhobenen Einspruch oder
einen Antrag auf Einstellung entschieden oder an einer Entscheidung
über die Fortführung des Verfahrens oder an einem Urteil mitgewirkt
hat, das infolge eines Rechtsmittels oder Rechtsbehelfs aufgehoben
wurde.</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den Richter Mag. XY aus den oben angeführten Gründen von dem
gegenständlichen Verfahren auszuschließen.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XX</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Voraussetzung: Voraussetzung für die Zulässigkeit eines
Gesuches, womit ein Beteiligter die Ablehnung eines Richters
geltend machen will (§ 73 StPO), ist – wie sich aus der
Gesamtheit der Bestimmungen des siebten Hauptstückes der StPO klar
ergibt –, dass der betreffende Richter in der Sache des
Ablehnungswerbers zu einer richterlichen Entscheidung konkret
berufen ist (RIS-Justiz RS0097075). Voraussetzung für die
Zulässigkeit eines Antrags auf Ablehnung eines Richters wegen
Ausschließung ist somit dessen konkret-aktuelle Kompetenz zur
Entscheidung in einer (anhängigen und noch nicht rechtskräftig
beendeten) Sache des Ablehnungswerbers (OGH 07.01.2020, 1 Präs
2690-4586/19a).</w:t>
      </w:r>
    </w:p>
    <w:p>
      <w:pPr>
        <w:widowControl w:val="on"/>
        <w:pBdr/>
        <w:spacing w:before="140" w:after="240" w:line="288" w:lineRule="auto"/>
        <w:ind w:left="0" w:right="0"/>
        <w:jc w:val="left"/>
      </w:pPr>
      <w:r>
        <w:rPr>
          <w:rFonts w:ascii="Arial" w:hAnsi="Arial" w:eastAsia="Arial" w:cs="Arial"/>
          <w:color w:val="000000"/>
          <w:sz w:val="20"/>
          <w:szCs w:val="20"/>
        </w:rPr>
        <w:t xml:space="preserve">Befangenheit: Befangenheit liegt vor, wenn ein Richter an eine
Rechtssache nicht mit voller Unvoreingenommenheit und
Unparteilichkeit herantritt, somit eine Hemmung zu unparteiischer
Entscheidung durch sachfremde psychologische Motive gegeben ist. Es
kommt nicht nur darauf an, ob sich der Richter befangen fühlt oder
nicht, es genügt grundsätzlich schon der Anschein einer
Befangenheit, wofür freilich zureichende Anhaltspunkte gegeben sein
müssen, die geeignet sind, bei einem verständig würdigenden
objektiven Beurteiler die volle Unbefangenheit in Zweifel zu ziehen
(RIS-Justiz RS0096914).</w:t>
      </w:r>
    </w:p>
    <w:p>
      <w:pPr>
        <w:widowControl w:val="on"/>
        <w:pBdr/>
        <w:spacing w:before="140" w:after="240" w:line="288" w:lineRule="auto"/>
        <w:ind w:left="0" w:right="0"/>
        <w:jc w:val="left"/>
      </w:pPr>
      <w:r>
        <w:rPr>
          <w:rFonts w:ascii="Arial" w:hAnsi="Arial" w:eastAsia="Arial" w:cs="Arial"/>
          <w:color w:val="000000"/>
          <w:sz w:val="20"/>
          <w:szCs w:val="20"/>
        </w:rPr>
        <w:t xml:space="preserve">Bindungswirkung: Der abweisenden Entscheidung über einen
Ablehnungsantrag durch das nach §§ 45 Abs 1, 44
Abs 2 StPO dazu berufene Organ kommt für die Prüfung des
Beschwerdevorbringens keine bindende Wirkung zu (OGH 08.04.2010, 13
Os 153/09p).</w:t>
      </w:r>
    </w:p>
    <w:p>
      <w:pPr>
        <w:widowControl w:val="on"/>
        <w:pBdr/>
        <w:spacing w:before="140" w:after="240" w:line="288" w:lineRule="auto"/>
        <w:ind w:left="0" w:right="0"/>
        <w:jc w:val="left"/>
      </w:pPr>
      <w:r>
        <w:rPr>
          <w:rFonts w:ascii="Arial" w:hAnsi="Arial" w:eastAsia="Arial" w:cs="Arial"/>
          <w:color w:val="000000"/>
          <w:sz w:val="20"/>
          <w:szCs w:val="20"/>
        </w:rPr>
        <w:t xml:space="preserve">Unverzüglichkeit: Ein Richter, dem ein Ausschließungsgrund
bekannt wird, hat diesen sogleich der von § 44 Abs 2 StPO
benannten Person anzuzeigen. Das gilt bei Bekanntwerden eines
allein ein Senatsmitglied betreffenden Ausschließungsgrundes auch
für die anderen Mitglieder des Senats (RIS-Justiz RS0126457).</w:t>
      </w:r>
    </w:p>
    <w:p>
      <w:pPr>
        <w:widowControl w:val="on"/>
        <w:pBdr/>
        <w:spacing w:before="140" w:after="240" w:line="288" w:lineRule="auto"/>
        <w:ind w:left="0" w:right="0"/>
        <w:jc w:val="left"/>
      </w:pPr>
      <w:r>
        <w:rPr>
          <w:rFonts w:ascii="Arial" w:hAnsi="Arial" w:eastAsia="Arial" w:cs="Arial"/>
          <w:color w:val="000000"/>
          <w:sz w:val="20"/>
          <w:szCs w:val="20"/>
        </w:rPr>
        <w:t xml:space="preserve">Rechtsmittelverfahren: Die Ausschlussgründe iSd § 43 StPO
stellen auf einen Bezug zur selben Straftat bzw zum selben
Verfahren (Sache) ab, weshalb auch die Mitwirkung eines Richters an
einem abgesondert geführten Verfahren gegen Mittäter oder sonstige
Tatbeteiligte keine Ausschließung begründet. Gleiches gilt –
mangels gesetzlicher Differenzierung – auch für den Bereich
des Rechtsmittelverfahrens (OGH 15.01.2009, 12 Os 125/08m).</w:t>
      </w:r>
    </w:p>
    <w:p>
      <w:pPr>
        <w:widowControl w:val="on"/>
        <w:pBdr/>
        <w:spacing w:before="140" w:after="240" w:line="288" w:lineRule="auto"/>
        <w:ind w:left="0" w:right="0"/>
        <w:jc w:val="left"/>
      </w:pPr>
      <w:r>
        <w:rPr>
          <w:rFonts w:ascii="Arial" w:hAnsi="Arial" w:eastAsia="Arial" w:cs="Arial"/>
          <w:color w:val="000000"/>
          <w:sz w:val="20"/>
          <w:szCs w:val="20"/>
        </w:rPr>
        <w:t xml:space="preserve">Persönliche Beziehungen: In erster Linie kommen als
Befangenheitsgründe private persönliche Beziehungen zu einer der
Prozessparteien oder zu ihren Vertretern in Betracht, die ein
Naheverhältnis begründen, das bei objektiver Betrachtung zumindest
geeignet ist, den Anschein einer Voreingenommenheit zu begründen.
Auch ein Naheverhältnis zu Zeugen kann jedoch eine Befangenheit
begründen, zumal bei widersprüchlichen Beweisergebnissen das
Beurteilungsvermögen des Richters im Rahmen der Beweiswürdigung
hierdurch beeinflusst werden kann beziehungsweise zumindest der
Anschein bestehen könnte, dass die Beweiswürdigung des Richters
durch ein solches Naheverhältnis und darin begründete emotionale
Komponenten mitbestimmt wird (RIS-Justiz RS0045935). Bei der
Beurteilung, ob persönliche Beziehungen eines Richters zu einer
Prozesspartei aus § 43 Abs 1 Z 3 StPO beachtlich
sind, kommt der Dauer und der Intensität des Naheverhältnisses
maßgebliche Bedeutung zu. Es liegt keine Befangenheit eines
Richters vor, dessen „private Kontakte“ zu einem befreundeten
Richterkollegen (als einem von zahlreichen Opfern gegen Richter und
Beamte gerichteter gefährlicher Drohungen) in den letzten zehn
Jahren auf ein bis zwei mit dienstlichem Ausgangspunkt geführte
Telefonate pro Jahr beschränkt waren, während außerdienstliche
Treffen nicht stattfanden (OGH 21.05.2019, 14 Os 41/19i).</w:t>
      </w:r>
    </w:p>
    <w:p>
      <w:pPr>
        <w:widowControl w:val="on"/>
        <w:pBdr/>
        <w:spacing w:before="140" w:after="240" w:line="288" w:lineRule="auto"/>
        <w:ind w:left="0" w:right="0"/>
        <w:jc w:val="left"/>
      </w:pPr>
      <w:r>
        <w:rPr>
          <w:rFonts w:ascii="Arial" w:hAnsi="Arial" w:eastAsia="Arial" w:cs="Arial"/>
          <w:color w:val="000000"/>
          <w:sz w:val="20"/>
          <w:szCs w:val="20"/>
        </w:rPr>
        <w:t xml:space="preserve">Abwesenheitsurteil: Der Ausschließungsgrund nach § 43
Abs 2 StPO wird auch durch die Fällung eines (später
kassierten) Abwesenheitsurteils verwirklicht (vgl dazu OGH
08.02.2022, 11 Os 155/21k).</w:t>
      </w:r>
    </w:p>
    <w:p>
      <w:pPr>
        <w:widowControl w:val="on"/>
        <w:pBdr/>
        <w:spacing w:before="140" w:after="240" w:line="288" w:lineRule="auto"/>
        <w:ind w:left="0" w:right="0"/>
        <w:jc w:val="left"/>
      </w:pPr>
      <w:r>
        <w:rPr>
          <w:rFonts w:ascii="Arial" w:hAnsi="Arial" w:eastAsia="Arial" w:cs="Arial"/>
          <w:color w:val="000000"/>
          <w:sz w:val="20"/>
          <w:szCs w:val="20"/>
        </w:rPr>
        <w:t xml:space="preserve">Hauptverfahren: § 43 Abs 2 StPO bildet lediglich im
(erneut durchzuführenden) Hauptverfahren einen Ausschlussgrund.
Dieses endet jedenfalls mit Rechtskraft des verurteilenden
Erkenntnisses. Bei nachfolgenden, mit der Rechtskraft
einhergehenden, aber weder die Schuld noch die Strafe betreffenden
Entscheidungen, wie etwa jener der Kostenbestimmung kann dieser
Ausschlussgrund nicht mehr selbstständig geltend gemacht werden
(OGH 18.05.2017, 28 Os 9/16g).</w:t>
      </w:r>
    </w:p>
    <w:p>
      <w:pPr>
        <w:widowControl w:val="on"/>
        <w:pBdr/>
        <w:spacing w:before="140" w:after="240" w:line="288" w:lineRule="auto"/>
        <w:ind w:left="0" w:right="0"/>
        <w:jc w:val="left"/>
      </w:pPr>
      <w:r>
        <w:rPr>
          <w:rFonts w:ascii="Arial" w:hAnsi="Arial" w:eastAsia="Arial" w:cs="Arial"/>
          <w:color w:val="000000"/>
          <w:sz w:val="20"/>
          <w:szCs w:val="20"/>
        </w:rPr>
        <w:t xml:space="preserve">Wiederholter Rechtsgang: Ausgeschlossen sind im wiederholten
Rechtsgang nur diejenigen Richter, die an der dem aufgehobenen
Urteil unmittelbar vorangegangenen Hauptverhandlung teilgenommen
haben. Der Kenntnis des Angeklagten von dem die Nichtigkeit
bewirkenden Umstand steht die Kenntnis seines Verteidigers gleich
(RIS-Justiz RS0097402).</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43155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023790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736372">
    <w:multiLevelType w:val="hybridMultilevel"/>
    <w:lvl w:ilvl="0" w:tplc="88308618">
      <w:start w:val="1"/>
      <w:numFmt w:val="decimal"/>
      <w:lvlText w:val="%1."/>
      <w:lvlJc w:val="left"/>
      <w:pPr>
        <w:ind w:left="720" w:hanging="360"/>
      </w:pPr>
    </w:lvl>
    <w:lvl w:ilvl="1" w:tplc="88308618" w:tentative="1">
      <w:start w:val="1"/>
      <w:numFmt w:val="lowerLetter"/>
      <w:lvlText w:val="%2."/>
      <w:lvlJc w:val="left"/>
      <w:pPr>
        <w:ind w:left="1440" w:hanging="360"/>
      </w:pPr>
    </w:lvl>
    <w:lvl w:ilvl="2" w:tplc="88308618" w:tentative="1">
      <w:start w:val="1"/>
      <w:numFmt w:val="lowerRoman"/>
      <w:lvlText w:val="%3."/>
      <w:lvlJc w:val="right"/>
      <w:pPr>
        <w:ind w:left="2160" w:hanging="180"/>
      </w:pPr>
    </w:lvl>
    <w:lvl w:ilvl="3" w:tplc="88308618" w:tentative="1">
      <w:start w:val="1"/>
      <w:numFmt w:val="decimal"/>
      <w:lvlText w:val="%4."/>
      <w:lvlJc w:val="left"/>
      <w:pPr>
        <w:ind w:left="2880" w:hanging="360"/>
      </w:pPr>
    </w:lvl>
    <w:lvl w:ilvl="4" w:tplc="88308618" w:tentative="1">
      <w:start w:val="1"/>
      <w:numFmt w:val="lowerLetter"/>
      <w:lvlText w:val="%5."/>
      <w:lvlJc w:val="left"/>
      <w:pPr>
        <w:ind w:left="3600" w:hanging="360"/>
      </w:pPr>
    </w:lvl>
    <w:lvl w:ilvl="5" w:tplc="88308618" w:tentative="1">
      <w:start w:val="1"/>
      <w:numFmt w:val="lowerRoman"/>
      <w:lvlText w:val="%6."/>
      <w:lvlJc w:val="right"/>
      <w:pPr>
        <w:ind w:left="4320" w:hanging="180"/>
      </w:pPr>
    </w:lvl>
    <w:lvl w:ilvl="6" w:tplc="88308618" w:tentative="1">
      <w:start w:val="1"/>
      <w:numFmt w:val="decimal"/>
      <w:lvlText w:val="%7."/>
      <w:lvlJc w:val="left"/>
      <w:pPr>
        <w:ind w:left="5040" w:hanging="360"/>
      </w:pPr>
    </w:lvl>
    <w:lvl w:ilvl="7" w:tplc="88308618" w:tentative="1">
      <w:start w:val="1"/>
      <w:numFmt w:val="lowerLetter"/>
      <w:lvlText w:val="%8."/>
      <w:lvlJc w:val="left"/>
      <w:pPr>
        <w:ind w:left="5760" w:hanging="360"/>
      </w:pPr>
    </w:lvl>
    <w:lvl w:ilvl="8" w:tplc="88308618" w:tentative="1">
      <w:start w:val="1"/>
      <w:numFmt w:val="lowerRoman"/>
      <w:lvlText w:val="%9."/>
      <w:lvlJc w:val="right"/>
      <w:pPr>
        <w:ind w:left="6480" w:hanging="180"/>
      </w:pPr>
    </w:lvl>
  </w:abstractNum>
  <w:abstractNum w:abstractNumId="67736371">
    <w:multiLevelType w:val="hybridMultilevel"/>
    <w:lvl w:ilvl="0" w:tplc="20004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36371">
    <w:abstractNumId w:val="67736371"/>
  </w:num>
  <w:num w:numId="67736372">
    <w:abstractNumId w:val="67736372"/>
  </w:num>
  <w:num w:numId="20237904">
    <w:abstractNumId w:val="20237904"/>
  </w:num>
  <w:num w:numId="781431550">
    <w:abstractNumId w:val="7814315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1795881" Type="http://schemas.openxmlformats.org/officeDocument/2006/relationships/numbering" Target="numbering.xml"/><Relationship Id="rId12564336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