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841435" w:name="document"/>
    <w:bookmarkEnd w:id="9841435"/>
    <w:p/>
    <w:p>
      <w:pPr>
        <w:widowControl w:val="on"/>
        <w:pBdr/>
        <w:spacing w:before="0" w:after="280" w:line="240" w:lineRule="auto"/>
        <w:ind w:left="0" w:right="0"/>
        <w:jc w:val="left"/>
      </w:pPr>
      <w:r>
        <w:rPr>
          <w:rFonts w:ascii="Arial" w:hAnsi="Arial" w:eastAsia="Arial" w:cs="Arial"/>
          <w:color w:val="363A40"/>
          <w:sz w:val="24"/>
          <w:szCs w:val="24"/>
        </w:rPr>
        <w:t xml:space="preserve">Dokument-ID: 793295 | Silvia Vinkovits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bedingte Entlassung</w:t>
      </w:r>
    </w:p>
    <w:p>
      <w:pPr>
        <w:widowControl w:val="on"/>
        <w:pBdr/>
        <w:spacing w:before="140" w:after="240" w:line="288" w:lineRule="auto"/>
        <w:ind w:left="0" w:right="0"/>
        <w:jc w:val="left"/>
      </w:pPr>
      <w:r>
        <w:rPr>
          <w:rFonts w:ascii="Arial" w:hAnsi="Arial" w:eastAsia="Arial" w:cs="Arial"/>
          <w:color w:val="000000"/>
          <w:sz w:val="20"/>
          <w:szCs w:val="20"/>
        </w:rP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Ort, Datum</w:t>
      </w:r>
      <w:r>
        <w:rPr>
          <w:rFonts w:ascii="Arial" w:hAnsi="Arial" w:eastAsia="Arial" w:cs="Arial"/>
          <w:color w:val="000000"/>
          <w:sz w:val="20"/>
          <w:szCs w:val="20"/>
        </w:rPr>
        <w:b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 am …</w:t>
            </w:r>
            <w:r>
              <w:rPr>
                <w:rFonts w:ascii="Arial" w:hAnsi="Arial" w:eastAsia="Arial" w:cs="Arial"/>
                <w:color w:val="000000"/>
                <w:position w:val="0"/>
                <w:sz w:val="20"/>
                <w:szCs w:val="20"/>
                <w:shd w:val="clear" w:color="auto" w:fill="FFFFFF"/>
              </w:rPr>
              <w:br/>
              <w:t xml:space="preserve">derzeit in Strafhaft in der</w:t>
            </w:r>
            <w:r>
              <w:rPr>
                <w:rFonts w:ascii="Arial" w:hAnsi="Arial" w:eastAsia="Arial" w:cs="Arial"/>
                <w:color w:val="000000"/>
                <w:position w:val="0"/>
                <w:sz w:val="20"/>
                <w:szCs w:val="20"/>
                <w:shd w:val="clear" w:color="auto" w:fill="FFFFFF"/>
              </w:rPr>
              <w:br/>
              <w:t xml:space="preserve">Justizanstalt Josefstadt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Z.Z., Rechtsanwalt</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ev R-Code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28 SMG, 15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gem § 46 StGB</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wurde mit Urteil des Landesgerichtes für
Strafsachen Wien, AZ … wegen des teils vollendeten, teils
versuchten Verbrechens nach den §§ 28 Abs 2 SMG, 15 StGB
rechtskräftig zu einer unbedingten Freiheitsstrafe in der Dauer von
acht Monaten verurteilt.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sich letztlich als schuldeinsichtig
erwiesen und ein reumütiges Geständnis abgelegt. Das Gericht hat
bei der Beurteilung des verfahrensgegenständlichen Sachverhaltes
die persönlichen Verhältnisse der Antragstellerin eingehend
geprüft. Dabei wurde der Umstand mildernd berücksichtigt, dass sich
diese zu den ihr angelasteten Suchtgifttatbeständen primär aufgrund
der Zuneigung zu ihrem damaligen Freund N.N. hat hinreißen lassen,
dh aus dem Bestreben, ihm aufgrund seiner Suchtmittelabhängigkeit
zu helfen und die ihr angelasteten Delikte primär zur Linderung
seiner Entzugserscheinungen verwirklichte.</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weist nur eine nicht einschlägige Vorstrafe
auf, die einer an sich günstigen Lebensführungsprognose nicht per
se entgegensteht. Sie stammt aus besonders geordneten Verhältnissen
und hat inzwischen ihre Verfehlungen als unrichtig erkannt. Man
kann daher zweifellos von einem – im weitesten Sinne – einmaligen
bzw aus speziellen Umständen heraus erklärbaren Fehlverhalten
sprechen.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fast die Hälfte der im Urteil über sie
verhängten Freiheitsstrafe, jedenfalls aber bereits drei Monate
verbüßt und es wäre gem § 46 Abs 1 StGB eine
bedingte Nachsicht des Strafrestes unter Bestimmung einer Probezeit
angezeigt. Dies deshalb, da bei dieser Sachverhaltskonstellation
mit an Sicherheit grenzender Wahrscheinlichkeit anzunehmen ist,
dass es nicht der Vollstreckung der gesamten Freiheitsstrafe
bedarf, um sie künftig von weiteren Straftaten abzuhalten.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stets regelmäßig gearbeitet, da ihre
Familie ein Restaurant betreibt, in dem sie nach ihrer
Haftentlassung sofort wieder mitarbeiten könnte. Im Übrigen wird
sie dort dringend benötigt, da die Mutter der Antragstellerin sich
in Kürze einer Bandscheibenoperation unterziehen muss und daher
durch eine mit den Besonderheiten der serbischen Küche vertraute
Person ersetzt werden muss, um den Familienbetrieb wie bisher
fortführen zu können.</w:t>
      </w:r>
    </w:p>
    <w:p>
      <w:pPr>
        <w:widowControl w:val="on"/>
        <w:pBdr/>
        <w:spacing w:before="140" w:after="240" w:line="288" w:lineRule="auto"/>
        <w:ind w:left="0" w:right="0"/>
        <w:jc w:val="left"/>
      </w:pPr>
      <w:r>
        <w:rPr>
          <w:rFonts w:ascii="Arial" w:hAnsi="Arial" w:eastAsia="Arial" w:cs="Arial"/>
          <w:color w:val="000000"/>
          <w:sz w:val="20"/>
          <w:szCs w:val="20"/>
        </w:rPr>
        <w:t xml:space="preserve">Das Vorleben der Antragstellerin ist nicht nachhaltig getrübt,
ihr Lebenswandel war – abgesehen von den beiden erwähnten
Verurteilungen – durchaus ordentlich, sodass ihre beruflichen und
persönlichen Zukunftsaussichten als vielversprechend zu werten
sind.</w:t>
      </w:r>
    </w:p>
    <w:p>
      <w:pPr>
        <w:widowControl w:val="on"/>
        <w:pBdr/>
        <w:spacing w:before="140" w:after="240" w:line="288" w:lineRule="auto"/>
        <w:ind w:left="0" w:right="0"/>
        <w:jc w:val="left"/>
      </w:pPr>
      <w:r>
        <w:rPr>
          <w:rFonts w:ascii="Arial" w:hAnsi="Arial" w:eastAsia="Arial" w:cs="Arial"/>
          <w:color w:val="000000"/>
          <w:sz w:val="20"/>
          <w:szCs w:val="20"/>
        </w:rPr>
        <w:t xml:space="preserve">Zudem wäre sie jedenfalls bereit, ergänzenden Weisungen des
Gerichtes im Falle einer vorzeitigen bedingten Entlassung aus der
Freiheitsstrafe nachzukommen. Spezialpräventiv war das Verspüren
des Haftübels ein für die Antragstellerin äußerst einschneidendes
Erlebnis, weshalb Gewähr dafür besteht, dass sie sich künftig
rechtstreu verhalten und das Suchtgiftmilieu meiden wird.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Einstellungszusage vom (Datum), Beilage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Befunde samt OP-Termin des AKH der Stadt Wien, Beilage 2</w:t>
            </w:r>
          </w:p>
        </w:tc>
      </w:tr>
    </w:tbl>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ergeht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Antragstellerin den Rest der verhängten Freiheitsstrafe
unter Bestimmung einer Probezeit gem § 46 Abs 1 StGB
bedingt nachzusehen und sie möglichst umgehend zu enthaften.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12052">
    <w:multiLevelType w:val="hybridMultilevel"/>
    <w:lvl w:ilvl="0" w:tplc="53137200">
      <w:start w:val="1"/>
      <w:numFmt w:val="decimal"/>
      <w:lvlText w:val="%1."/>
      <w:lvlJc w:val="left"/>
      <w:pPr>
        <w:ind w:left="720" w:hanging="360"/>
      </w:pPr>
    </w:lvl>
    <w:lvl w:ilvl="1" w:tplc="53137200" w:tentative="1">
      <w:start w:val="1"/>
      <w:numFmt w:val="lowerLetter"/>
      <w:lvlText w:val="%2."/>
      <w:lvlJc w:val="left"/>
      <w:pPr>
        <w:ind w:left="1440" w:hanging="360"/>
      </w:pPr>
    </w:lvl>
    <w:lvl w:ilvl="2" w:tplc="53137200" w:tentative="1">
      <w:start w:val="1"/>
      <w:numFmt w:val="lowerRoman"/>
      <w:lvlText w:val="%3."/>
      <w:lvlJc w:val="right"/>
      <w:pPr>
        <w:ind w:left="2160" w:hanging="180"/>
      </w:pPr>
    </w:lvl>
    <w:lvl w:ilvl="3" w:tplc="53137200" w:tentative="1">
      <w:start w:val="1"/>
      <w:numFmt w:val="decimal"/>
      <w:lvlText w:val="%4."/>
      <w:lvlJc w:val="left"/>
      <w:pPr>
        <w:ind w:left="2880" w:hanging="360"/>
      </w:pPr>
    </w:lvl>
    <w:lvl w:ilvl="4" w:tplc="53137200" w:tentative="1">
      <w:start w:val="1"/>
      <w:numFmt w:val="lowerLetter"/>
      <w:lvlText w:val="%5."/>
      <w:lvlJc w:val="left"/>
      <w:pPr>
        <w:ind w:left="3600" w:hanging="360"/>
      </w:pPr>
    </w:lvl>
    <w:lvl w:ilvl="5" w:tplc="53137200" w:tentative="1">
      <w:start w:val="1"/>
      <w:numFmt w:val="lowerRoman"/>
      <w:lvlText w:val="%6."/>
      <w:lvlJc w:val="right"/>
      <w:pPr>
        <w:ind w:left="4320" w:hanging="180"/>
      </w:pPr>
    </w:lvl>
    <w:lvl w:ilvl="6" w:tplc="53137200" w:tentative="1">
      <w:start w:val="1"/>
      <w:numFmt w:val="decimal"/>
      <w:lvlText w:val="%7."/>
      <w:lvlJc w:val="left"/>
      <w:pPr>
        <w:ind w:left="5040" w:hanging="360"/>
      </w:pPr>
    </w:lvl>
    <w:lvl w:ilvl="7" w:tplc="53137200" w:tentative="1">
      <w:start w:val="1"/>
      <w:numFmt w:val="lowerLetter"/>
      <w:lvlText w:val="%8."/>
      <w:lvlJc w:val="left"/>
      <w:pPr>
        <w:ind w:left="5760" w:hanging="360"/>
      </w:pPr>
    </w:lvl>
    <w:lvl w:ilvl="8" w:tplc="53137200" w:tentative="1">
      <w:start w:val="1"/>
      <w:numFmt w:val="lowerRoman"/>
      <w:lvlText w:val="%9."/>
      <w:lvlJc w:val="right"/>
      <w:pPr>
        <w:ind w:left="6480" w:hanging="180"/>
      </w:pPr>
    </w:lvl>
  </w:abstractNum>
  <w:abstractNum w:abstractNumId="74312051">
    <w:multiLevelType w:val="hybridMultilevel"/>
    <w:lvl w:ilvl="0" w:tplc="56008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12051">
    <w:abstractNumId w:val="74312051"/>
  </w:num>
  <w:num w:numId="74312052">
    <w:abstractNumId w:val="74312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33173467" Type="http://schemas.openxmlformats.org/officeDocument/2006/relationships/numbering" Target="numbering.xml"/><Relationship Id="rId82120030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