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7606523" w:name="document"/>
    <w:bookmarkEnd w:id="77606523"/>
    <w:p/>
    <w:p>
      <w:pPr>
        <w:widowControl w:val="on"/>
        <w:pBdr/>
        <w:spacing w:before="0" w:after="280" w:line="240" w:lineRule="auto"/>
        <w:ind w:left="0" w:right="0"/>
        <w:jc w:val="left"/>
      </w:pPr>
      <w:r>
        <w:rPr>
          <w:rFonts w:ascii="Arial" w:hAnsi="Arial" w:eastAsia="Arial" w:cs="Arial"/>
          <w:color w:val="363A40"/>
          <w:sz w:val="24"/>
          <w:szCs w:val="24"/>
        </w:rPr>
        <w:t xml:space="preserve">Dokument-ID: 933654 | Karin Zahiragic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Enthaftungsantrag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Beschuldigter: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 am …</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Rechtsanwältin</w:t>
            </w:r>
            <w:r>
              <w:rPr>
                <w:rFonts w:ascii="Arial" w:hAnsi="Arial" w:eastAsia="Arial" w:cs="Arial"/>
                <w:color w:val="000000"/>
                <w:position w:val="0"/>
                <w:sz w:val="20"/>
                <w:szCs w:val="20"/>
                <w:shd w:val="clear" w:color="auto" w:fill="FFFFFF"/>
              </w:rPr>
              <w:br/>
              <w:t xml:space="preserve">… [Adresse], … [RA-Code]</w:t>
            </w:r>
            <w:r>
              <w:rPr>
                <w:rFonts w:ascii="Arial" w:hAnsi="Arial" w:eastAsia="Arial" w:cs="Arial"/>
                <w:color w:val="000000"/>
                <w:position w:val="0"/>
                <w:sz w:val="20"/>
                <w:szCs w:val="20"/>
                <w:shd w:val="clear" w:color="auto" w:fill="FFFFFF"/>
              </w:rPr>
              <w:br/>
              <w:t xml:space="preserve">(Vollmacht gem § 8 RAO ivm § 58 Abs 2 StPO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Angezeigter: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 am …</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83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Enthaftungsantrag</w:t>
      </w:r>
    </w:p>
    <w:p>
      <w:pPr>
        <w:widowControl w:val="on"/>
        <w:pBdr/>
        <w:spacing w:before="140" w:after="240" w:line="288" w:lineRule="auto"/>
        <w:ind w:left="0" w:right="0"/>
        <w:jc w:val="left"/>
      </w:pPr>
      <w:r>
        <w:rPr>
          <w:rFonts w:ascii="Arial" w:hAnsi="Arial" w:eastAsia="Arial" w:cs="Arial"/>
          <w:color w:val="000000"/>
          <w:sz w:val="20"/>
          <w:szCs w:val="20"/>
        </w:rPr>
        <w:t xml:space="preserve">In der umseits bezeichneten Strafsache beantragt der
Beschuldigte durch seine ausgewiesene Rechtsvertreterin die
Aufhebung der Untersuchungshaft und führt wie folgt aus:</w:t>
      </w:r>
    </w:p>
    <w:p>
      <w:pPr>
        <w:widowControl w:val="on"/>
        <w:pBdr/>
        <w:spacing w:before="140" w:after="240" w:line="288" w:lineRule="auto"/>
        <w:ind w:left="0" w:right="0"/>
        <w:jc w:val="left"/>
      </w:pPr>
      <w:r>
        <w:rPr>
          <w:rFonts w:ascii="Arial" w:hAnsi="Arial" w:eastAsia="Arial" w:cs="Arial"/>
          <w:color w:val="000000"/>
          <w:sz w:val="20"/>
          <w:szCs w:val="20"/>
        </w:rPr>
        <w:t xml:space="preserve">Mit Beschluss des Landesgerichts für Strafsachen Wien vom …
[Datum] wurde über den Beschuldigten die Untersuchungshaft
gem § 173 Abs 1 und Abs 2 … StPO verhängt.</w:t>
      </w:r>
    </w:p>
    <w:p>
      <w:pPr>
        <w:widowControl w:val="on"/>
        <w:pBdr/>
        <w:spacing w:before="140" w:after="240" w:line="288" w:lineRule="auto"/>
        <w:ind w:left="0" w:right="0"/>
        <w:jc w:val="left"/>
      </w:pPr>
      <w:r>
        <w:rPr>
          <w:rFonts w:ascii="Arial" w:hAnsi="Arial" w:eastAsia="Arial" w:cs="Arial"/>
          <w:color w:val="000000"/>
          <w:sz w:val="20"/>
          <w:szCs w:val="20"/>
        </w:rPr>
        <w:t xml:space="preserve">Ein dringender Tatverdacht liegt nicht vor, weil angesichts der
Aussage des Beschuldigten und der vernommenen Zeugen von einer
dringlichen Verdachtslage im Sinne einer höhergradigen
Wahrscheinlichkeit der Täterschaft des Beschuldigten nicht
ausgegangen werden kann.</w:t>
      </w:r>
    </w:p>
    <w:p>
      <w:pPr>
        <w:widowControl w:val="on"/>
        <w:pBdr/>
        <w:spacing w:before="140" w:after="240" w:line="288" w:lineRule="auto"/>
        <w:ind w:left="0" w:right="0"/>
        <w:jc w:val="left"/>
      </w:pPr>
      <w:r>
        <w:rPr>
          <w:rFonts w:ascii="Arial" w:hAnsi="Arial" w:eastAsia="Arial" w:cs="Arial"/>
          <w:color w:val="000000"/>
          <w:sz w:val="20"/>
          <w:szCs w:val="20"/>
        </w:rPr>
        <w:t xml:space="preserve">Der Haftgrund der Fluchtgefahr gem § 173 Abs 2
Z 1 StPO ist nicht gegeben, weil sich der Beschuldigte
freiwillig der Polizei gestellt hat. Auch gibt es sonst keine
Hinweise, dass der Beschuldigte Anstalten zu Flucht gemacht hat.
Der Beschuldigte ist in Österreich sozial integriert, er hat seit …
[Datum] seinen ordentlichen Wohnsitz in Wien, … [Adresse]. Aus all
diesen Gründen ist die Annahme des Haftgrundes der Fluchtgefahr
äußerst spekulativ und nicht zulässig.</w:t>
      </w:r>
    </w:p>
    <w:p>
      <w:pPr>
        <w:widowControl w:val="on"/>
        <w:pBdr/>
        <w:spacing w:before="140" w:after="240" w:line="288" w:lineRule="auto"/>
        <w:ind w:left="0" w:right="0"/>
        <w:jc w:val="left"/>
      </w:pPr>
      <w:r>
        <w:rPr>
          <w:rFonts w:ascii="Arial" w:hAnsi="Arial" w:eastAsia="Arial" w:cs="Arial"/>
          <w:color w:val="000000"/>
          <w:sz w:val="20"/>
          <w:szCs w:val="20"/>
        </w:rPr>
        <w:t xml:space="preserve">Verdunkelungsgefahr gem § 173 Abs 2 Z 2 StPO
liegt konkret nicht vor, weil der Beschuldigte zu den ihm zur Last
liegenden Straftaten ein umfassendes Geständnis abgelegt hat. Zudem
sind auch alle in Betracht kommenden Zeugen vernommen worden.</w:t>
      </w:r>
    </w:p>
    <w:p>
      <w:pPr>
        <w:widowControl w:val="on"/>
        <w:pBdr/>
        <w:spacing w:before="140" w:after="240" w:line="288" w:lineRule="auto"/>
        <w:ind w:left="0" w:right="0"/>
        <w:jc w:val="left"/>
      </w:pPr>
      <w:r>
        <w:rPr>
          <w:rFonts w:ascii="Arial" w:hAnsi="Arial" w:eastAsia="Arial" w:cs="Arial"/>
          <w:color w:val="000000"/>
          <w:sz w:val="20"/>
          <w:szCs w:val="20"/>
        </w:rPr>
        <w:t xml:space="preserve">Zudem liegt der Haftgrund der Tatbegehungs- und
Tatausführungsgefahr gem § 173 Abs 2 Z 3 StPO
aus mehreren Gründen nicht vor. Es kann nicht bzw nicht mehr
befürchtet werden, dass der Beschuldigte</w:t>
      </w:r>
    </w:p>
    <w:p>
      <w:pPr>
        <w:numPr>
          <w:ilvl w:val="0"/>
          <w:numId w:val="6576084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a) eine strafbare Handlung mit schweren Folgen
begehen wird, die gegen dasselbe Rechtsgut gerichtet ist, wie die
ihm angelastete Handlung mit schweren Folgen, wozu der Beschuldigte
noch ausführt, dass die ihm nunmehr angelastete Straftat keine
schweren Folgen nach sich gezogen hat,</w:t>
      </w:r>
    </w:p>
    <w:p>
      <w:pPr>
        <w:numPr>
          <w:ilvl w:val="0"/>
          <w:numId w:val="6576084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b) eine strafbare Handlung mit nicht bloß leichten
Folgen begehen wird, die gegen dasselbe Rechtsgut gerichtet ist,
wie die ihm angelastete strafbare Handlung,</w:t>
      </w:r>
    </w:p>
    <w:p>
      <w:pPr>
        <w:numPr>
          <w:ilvl w:val="0"/>
          <w:numId w:val="6576084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c) eine strafbare Handlung begehen wird, die
ebenso wie die dem Beschuldigten angelastete strafbare Handlung
gegen dasselbe Rechtsgut gerichtet ist,</w:t>
      </w:r>
    </w:p>
    <w:p>
      <w:pPr>
        <w:numPr>
          <w:ilvl w:val="0"/>
          <w:numId w:val="6576084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lit d) die dem Beschuldigten angelastete versuchte Tat
ausführen wird.</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hat die ihm angelastete Tat aus Not begangen.
Er hat sich im Zeitpunkt der Tat in einer schlechten finanziellen
Lage befunden, weil er arbeitslos gewesen ist und für seine Ehefrau
und für seine drei minderjährigen Kinder sorge- und
unterhaftspflichtig ist. In der Zwischenzeit hat er bei der Firma G
&amp; G GmbH eine neue Arbeitsstelle zu einem monatlichen
Bruttogehalt in der Höhe von EUR 1.500,– als Hilfsarbeiter
gefunden.</w:t>
      </w:r>
    </w:p>
    <w:p>
      <w:pPr>
        <w:widowControl w:val="on"/>
        <w:pBdr/>
        <w:spacing w:before="140" w:after="240" w:line="288" w:lineRule="auto"/>
        <w:ind w:left="0" w:right="0"/>
        <w:jc w:val="left"/>
      </w:pPr>
      <w:r>
        <w:rPr>
          <w:rFonts w:ascii="Arial" w:hAnsi="Arial" w:eastAsia="Arial" w:cs="Arial"/>
          <w:color w:val="000000"/>
          <w:sz w:val="20"/>
          <w:szCs w:val="20"/>
        </w:rPr>
        <w:t xml:space="preserve">Die Fortsetzung der Untersuchungshaft ist gem § 173
Abs 1 StPO unter Bedachtnahme auf die Bedeutung und den
Stellenwert der konkreten Strafsache und der angedrohten Strafe
unverhältnismäßig.</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erklärt sich ausdrücklich, mit der Aufhebung
der Untersuchungshaft unter Anwendung gelinderer Mittel,
einverstanden.</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stellt der Beschuldigte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numPr>
          <w:ilvl w:val="0"/>
          <w:numId w:val="584591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 ihn verhängte Untersuchungshaft aufzuheben,</w:t>
      </w:r>
    </w:p>
    <w:p>
      <w:pPr>
        <w:numPr>
          <w:ilvl w:val="0"/>
          <w:numId w:val="584591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eventu: die über ihn verhängte Untersuchungshaft unter
Anwendung gelinderer Mittel aufzuheben.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635893" w:name="note1"/>
            <w:bookmarkEnd w:id="29635893"/>
            <w:bookmarkStart w:id="8417779331690" w:name="note1"/>
            <w:r>
              <w:rPr>
                <w:rFonts w:ascii="Arial" w:hAnsi="Arial" w:eastAsia="Arial" w:cs="Arial"/>
                <w:b/>
                <w:bCs/>
                <w:color w:val="000000"/>
                <w:position w:val="0"/>
                <w:sz w:val="20"/>
                <w:szCs w:val="20"/>
              </w:rPr>
              <w:t xml:space="preserve">[1]</w:t>
            </w:r>
            <w:bookmarkEnd w:id="84177793316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Verhältnismäßigkeit: Was die so genannte Verhältnismäßigkeit der
Untersuchungshaft anlangt, prüft der Oberste Gerichtshof, ausgehend
von der Vorgabe des GRBG, wonach nicht die Haft, vielmehr die vom
OLG getroffene Entscheidung über die Haft den Prozessgegenstand
bildet, in jüngerer, jedoch bereits gefestigter Rechtsprechung in
zwei Schritten, ob angesichts der vom OLG angeführten bestimmten
Tatsachen der von diesem gezogene Schluss auf ein ausgewogenes
Verhältnis zur Bedeutung der Sache und der zu erwartenden Strafe
vertretbar war und – zusätzlich nach Maßgabe eigener
Beweiswürdigung – ob die Gerichte alles ihnen Mögliche zur
Abkürzung der Haft unternommen haben. Eine ins Gewicht fallende
Säumigkeit in Haftsachen ist auch ohne Verletzung des § 180
Abs 1 zweiter Satz StPO grundrechtswidrig im Sinn einer
Verletzung des § 193 Abs 1 StPO (RIS-Justiz
RS0120790).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735109" w:name="note2"/>
            <w:bookmarkEnd w:id="44735109"/>
            <w:bookmarkStart w:id="4034892027986" w:name="note2"/>
            <w:r>
              <w:rPr>
                <w:rFonts w:ascii="Arial" w:hAnsi="Arial" w:eastAsia="Arial" w:cs="Arial"/>
                <w:b/>
                <w:bCs/>
                <w:color w:val="000000"/>
                <w:position w:val="0"/>
                <w:sz w:val="20"/>
                <w:szCs w:val="20"/>
              </w:rPr>
              <w:t xml:space="preserve">[2]</w:t>
            </w:r>
            <w:bookmarkEnd w:id="40348920279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Haftverhandlung: Die Untersuchungshaft wird immer nur für eine
bestimmte Zeit – die so genannte Haftfrist – verhängt. Knapp vor
deren Ablauf oder im Fall eines Enthaftungsantrags durch den
Beschuldigten muss eine Haftverhandlung durchgeführt werden. Dabei
wird festgestellt, ob die Voraussetzungen für die Inhaftierung
weiterhin gegeben sind. Liegen diese nicht mehr vor, muss der
Beschuldigte entlassen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886572" w:name="note3"/>
            <w:bookmarkEnd w:id="24886572"/>
            <w:bookmarkStart w:id="6289041936582" w:name="note3"/>
            <w:r>
              <w:rPr>
                <w:rFonts w:ascii="Arial" w:hAnsi="Arial" w:eastAsia="Arial" w:cs="Arial"/>
                <w:b/>
                <w:bCs/>
                <w:color w:val="000000"/>
                <w:position w:val="0"/>
                <w:sz w:val="20"/>
                <w:szCs w:val="20"/>
              </w:rPr>
              <w:t xml:space="preserve">[3]</w:t>
            </w:r>
            <w:bookmarkEnd w:id="62890419365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Grundrechtsbeschwerde: Da bei gegebenem dringenden Tatverdacht
bereits ein Haftgrund die Aufrechterhaltung der Untersuchungshaft
rechtfertigt, erübrigt es sich, im Rahmen der Behandlung der
Grundrechtsbeschwerde zu prüfen, ob noch weitere Haftgründe gegeben
sind (RIS-Justiz RS0061196).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028264" w:name="note4"/>
            <w:bookmarkEnd w:id="36028264"/>
            <w:bookmarkStart w:id="6892979502378" w:name="note4"/>
            <w:r>
              <w:rPr>
                <w:rFonts w:ascii="Arial" w:hAnsi="Arial" w:eastAsia="Arial" w:cs="Arial"/>
                <w:b/>
                <w:bCs/>
                <w:color w:val="000000"/>
                <w:position w:val="0"/>
                <w:sz w:val="20"/>
                <w:szCs w:val="20"/>
              </w:rPr>
              <w:t xml:space="preserve">[4]</w:t>
            </w:r>
            <w:bookmarkEnd w:id="68929795023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Anlasstat: § 173 Abs 2 Z 3 lit b StPO
verlangt neben einer Anlasstat und einer gegen dasselbe Rechtsgut
gerichteten strafbaren Handlung mit nicht bloß leichten Folgen als
Prognosetat folgende Zusatzbedingung. Der Beschuldigte muss
entweder wegen einer solchen strafbaren Handlung bereits verurteilt
worden sein oder nunmehr nicht nur wegen einer, sondern wegen
wiederholter oder fortgesetzter strafbarer Handlungen im dringenden
Tatverdacht stehen. Dass es sich bei derart zu beurteilenden
Anlasstaten auch um Taten handeln könnte, die (noch) nicht den
Gegenstand des Verfahrens bilden, ist dem Gesetz nicht zu entnehmen
(OLG Linz 07.05.2018 9 Bs 126/18w).</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639403" w:name="note5"/>
            <w:bookmarkEnd w:id="96639403"/>
            <w:bookmarkStart w:id="5732962427927" w:name="note5"/>
            <w:r>
              <w:rPr>
                <w:rFonts w:ascii="Arial" w:hAnsi="Arial" w:eastAsia="Arial" w:cs="Arial"/>
                <w:b/>
                <w:bCs/>
                <w:color w:val="000000"/>
                <w:position w:val="0"/>
                <w:sz w:val="20"/>
                <w:szCs w:val="20"/>
              </w:rPr>
              <w:t xml:space="preserve">[5]</w:t>
            </w:r>
            <w:bookmarkEnd w:id="57329624279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Tatbegehungsgefahr: Die Haft wegen Tatbegehungsgefahr ist nur
zulässig, wenn aufgrund bestimmter Tatsachen zu befürchten ist,
dass der Beschuldigte ohne Haftverhängung, ungeachtet des Eindrucks
des gegen ihn geführten Strafverfahrens, eine strafbare Handlung
(von je nach Anlasstat unterschiedlicher Intensität) begehen werde,
die gegen dasselbe Rechtsgut gerichtet ist wie die ihm angelastete
Tat. Die Annahme einer solchen Gefahr muss sich daher auf bestimmte
Tatsachen stützen, die die Gefahr einer Wiederholung begründen. Es
genügt also nicht, dass die Möglichkeit eines Rückfalls nicht
ausgeschlossen ist, diese Möglichkeit muss vielmehr durch bestimmte
Tatsachen in greifbare Nähe gerückt sein. Darüber hinaus ist die
Gefährlichkeit des Beschuldigten für Leib und Leben oder seine
Beteiligung an einer kriminellen Organisation zu berücksichtigen,
aber auch, ob die Tatbegehungsgefahr durch eine Änderung der
Verhältnisse, unter denen die Anlasstat(en) begangen wurde(n),
gemindert ist (RIS-Justiz RS0107369).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297649" w:name="note6"/>
            <w:bookmarkEnd w:id="66297649"/>
            <w:bookmarkStart w:id="7951391460463" w:name="note6"/>
            <w:r>
              <w:rPr>
                <w:rFonts w:ascii="Arial" w:hAnsi="Arial" w:eastAsia="Arial" w:cs="Arial"/>
                <w:b/>
                <w:bCs/>
                <w:color w:val="000000"/>
                <w:position w:val="0"/>
                <w:sz w:val="20"/>
                <w:szCs w:val="20"/>
              </w:rPr>
              <w:t xml:space="preserve">[6]</w:t>
            </w:r>
            <w:bookmarkEnd w:id="79513914604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Verdunkelungsgefahr: Das Vorbringen, Verdunkelungsgefahr dürfe
nicht angenommen werden, wenn der Beschuldigte zu der befürchteten
Verdunkelung „längst Gelegenheit" gehabt hätte, ist unzureichend
(Vgl RIS-Justiz RS0124553).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95361" w:name="note7"/>
            <w:bookmarkEnd w:id="5595361"/>
            <w:bookmarkStart w:id="8161403506131" w:name="note7"/>
            <w:r>
              <w:rPr>
                <w:rFonts w:ascii="Arial" w:hAnsi="Arial" w:eastAsia="Arial" w:cs="Arial"/>
                <w:b/>
                <w:bCs/>
                <w:color w:val="000000"/>
                <w:position w:val="0"/>
                <w:sz w:val="20"/>
                <w:szCs w:val="20"/>
              </w:rPr>
              <w:t xml:space="preserve">[7]</w:t>
            </w:r>
            <w:bookmarkEnd w:id="81614035061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Haftfristen: Die in § 175 Abs 1 und Abs 2 StPO
normierten Haftfristen unterliegen den Regeln des § 84 StPO,
weil sie „in diesem Gesetz bestimmt“ und nach ihrer Benennung
prozessuale Fristen sind und können daher – mit Ausnahme der im
Gesetz ausdrücklich angeführten Fälle (§ 175 Abs 3 StPO)
– nicht verlängert werden. Der vom Gesetz bestimmte Tag, an dem sie
zu laufen beginnen, sohin jener der Beschlussfassung, wird nicht
mitgezählt und ihr Lauf durch Samstage, Sonn- und Feiertage sowie
den Karfreitag nicht behindert. Fällt das Ende einer Haftfrist
allerdings auf solch einen Tag, so ist der nächste Werktag als
letzter Tag der Haftfrist anzusehen (OGH 02.03.2010 11 Os
10/10w).</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5915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6576084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959310">
    <w:multiLevelType w:val="hybridMultilevel"/>
    <w:lvl w:ilvl="0" w:tplc="55540203">
      <w:start w:val="1"/>
      <w:numFmt w:val="decimal"/>
      <w:lvlText w:val="%1."/>
      <w:lvlJc w:val="left"/>
      <w:pPr>
        <w:ind w:left="720" w:hanging="360"/>
      </w:pPr>
    </w:lvl>
    <w:lvl w:ilvl="1" w:tplc="55540203" w:tentative="1">
      <w:start w:val="1"/>
      <w:numFmt w:val="lowerLetter"/>
      <w:lvlText w:val="%2."/>
      <w:lvlJc w:val="left"/>
      <w:pPr>
        <w:ind w:left="1440" w:hanging="360"/>
      </w:pPr>
    </w:lvl>
    <w:lvl w:ilvl="2" w:tplc="55540203" w:tentative="1">
      <w:start w:val="1"/>
      <w:numFmt w:val="lowerRoman"/>
      <w:lvlText w:val="%3."/>
      <w:lvlJc w:val="right"/>
      <w:pPr>
        <w:ind w:left="2160" w:hanging="180"/>
      </w:pPr>
    </w:lvl>
    <w:lvl w:ilvl="3" w:tplc="55540203" w:tentative="1">
      <w:start w:val="1"/>
      <w:numFmt w:val="decimal"/>
      <w:lvlText w:val="%4."/>
      <w:lvlJc w:val="left"/>
      <w:pPr>
        <w:ind w:left="2880" w:hanging="360"/>
      </w:pPr>
    </w:lvl>
    <w:lvl w:ilvl="4" w:tplc="55540203" w:tentative="1">
      <w:start w:val="1"/>
      <w:numFmt w:val="lowerLetter"/>
      <w:lvlText w:val="%5."/>
      <w:lvlJc w:val="left"/>
      <w:pPr>
        <w:ind w:left="3600" w:hanging="360"/>
      </w:pPr>
    </w:lvl>
    <w:lvl w:ilvl="5" w:tplc="55540203" w:tentative="1">
      <w:start w:val="1"/>
      <w:numFmt w:val="lowerRoman"/>
      <w:lvlText w:val="%6."/>
      <w:lvlJc w:val="right"/>
      <w:pPr>
        <w:ind w:left="4320" w:hanging="180"/>
      </w:pPr>
    </w:lvl>
    <w:lvl w:ilvl="6" w:tplc="55540203" w:tentative="1">
      <w:start w:val="1"/>
      <w:numFmt w:val="decimal"/>
      <w:lvlText w:val="%7."/>
      <w:lvlJc w:val="left"/>
      <w:pPr>
        <w:ind w:left="5040" w:hanging="360"/>
      </w:pPr>
    </w:lvl>
    <w:lvl w:ilvl="7" w:tplc="55540203" w:tentative="1">
      <w:start w:val="1"/>
      <w:numFmt w:val="lowerLetter"/>
      <w:lvlText w:val="%8."/>
      <w:lvlJc w:val="left"/>
      <w:pPr>
        <w:ind w:left="5760" w:hanging="360"/>
      </w:pPr>
    </w:lvl>
    <w:lvl w:ilvl="8" w:tplc="55540203" w:tentative="1">
      <w:start w:val="1"/>
      <w:numFmt w:val="lowerRoman"/>
      <w:lvlText w:val="%9."/>
      <w:lvlJc w:val="right"/>
      <w:pPr>
        <w:ind w:left="6480" w:hanging="180"/>
      </w:pPr>
    </w:lvl>
  </w:abstractNum>
  <w:abstractNum w:abstractNumId="318211619">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69854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959309">
    <w:multiLevelType w:val="hybridMultilevel"/>
    <w:lvl w:ilvl="0" w:tplc="95133077">
      <w:start w:val="1"/>
      <w:numFmt w:val="decimal"/>
      <w:lvlText w:val="%1."/>
      <w:lvlJc w:val="left"/>
      <w:pPr>
        <w:ind w:left="720" w:hanging="360"/>
      </w:pPr>
    </w:lvl>
    <w:lvl w:ilvl="1" w:tplc="95133077" w:tentative="1">
      <w:start w:val="1"/>
      <w:numFmt w:val="lowerLetter"/>
      <w:lvlText w:val="%2."/>
      <w:lvlJc w:val="left"/>
      <w:pPr>
        <w:ind w:left="1440" w:hanging="360"/>
      </w:pPr>
    </w:lvl>
    <w:lvl w:ilvl="2" w:tplc="95133077" w:tentative="1">
      <w:start w:val="1"/>
      <w:numFmt w:val="lowerRoman"/>
      <w:lvlText w:val="%3."/>
      <w:lvlJc w:val="right"/>
      <w:pPr>
        <w:ind w:left="2160" w:hanging="180"/>
      </w:pPr>
    </w:lvl>
    <w:lvl w:ilvl="3" w:tplc="95133077" w:tentative="1">
      <w:start w:val="1"/>
      <w:numFmt w:val="decimal"/>
      <w:lvlText w:val="%4."/>
      <w:lvlJc w:val="left"/>
      <w:pPr>
        <w:ind w:left="2880" w:hanging="360"/>
      </w:pPr>
    </w:lvl>
    <w:lvl w:ilvl="4" w:tplc="95133077" w:tentative="1">
      <w:start w:val="1"/>
      <w:numFmt w:val="lowerLetter"/>
      <w:lvlText w:val="%5."/>
      <w:lvlJc w:val="left"/>
      <w:pPr>
        <w:ind w:left="3600" w:hanging="360"/>
      </w:pPr>
    </w:lvl>
    <w:lvl w:ilvl="5" w:tplc="95133077" w:tentative="1">
      <w:start w:val="1"/>
      <w:numFmt w:val="lowerRoman"/>
      <w:lvlText w:val="%6."/>
      <w:lvlJc w:val="right"/>
      <w:pPr>
        <w:ind w:left="4320" w:hanging="180"/>
      </w:pPr>
    </w:lvl>
    <w:lvl w:ilvl="6" w:tplc="95133077" w:tentative="1">
      <w:start w:val="1"/>
      <w:numFmt w:val="decimal"/>
      <w:lvlText w:val="%7."/>
      <w:lvlJc w:val="left"/>
      <w:pPr>
        <w:ind w:left="5040" w:hanging="360"/>
      </w:pPr>
    </w:lvl>
    <w:lvl w:ilvl="7" w:tplc="95133077" w:tentative="1">
      <w:start w:val="1"/>
      <w:numFmt w:val="lowerLetter"/>
      <w:lvlText w:val="%8."/>
      <w:lvlJc w:val="left"/>
      <w:pPr>
        <w:ind w:left="5760" w:hanging="360"/>
      </w:pPr>
    </w:lvl>
    <w:lvl w:ilvl="8" w:tplc="95133077" w:tentative="1">
      <w:start w:val="1"/>
      <w:numFmt w:val="lowerRoman"/>
      <w:lvlText w:val="%9."/>
      <w:lvlJc w:val="right"/>
      <w:pPr>
        <w:ind w:left="6480" w:hanging="180"/>
      </w:pPr>
    </w:lvl>
  </w:abstractNum>
  <w:abstractNum w:abstractNumId="82959308">
    <w:multiLevelType w:val="hybridMultilevel"/>
    <w:lvl w:ilvl="0" w:tplc="66561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59308">
    <w:abstractNumId w:val="82959308"/>
  </w:num>
  <w:num w:numId="82959309">
    <w:abstractNumId w:val="82959309"/>
  </w:num>
  <w:num w:numId="36985498">
    <w:abstractNumId w:val="36985498"/>
  </w:num>
  <w:num w:numId="318211619">
    <w:abstractNumId w:val="318211619"/>
  </w:num>
  <w:num w:numId="82959310">
    <w:abstractNumId w:val="82959310"/>
  </w:num>
  <w:num w:numId="657608451">
    <w:abstractNumId w:val="657608451"/>
  </w:num>
  <w:num w:numId="58459152">
    <w:abstractNumId w:val="58459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9771456" Type="http://schemas.openxmlformats.org/officeDocument/2006/relationships/numbering" Target="numbering.xml"/><Relationship Id="rId18980494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