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2165619" w:name="document"/>
    <w:bookmarkEnd w:id="12165619"/>
    <w:p/>
    <w:p>
      <w:pPr>
        <w:widowControl w:val="on"/>
        <w:pBdr/>
        <w:spacing w:before="0" w:after="280" w:line="240" w:lineRule="auto"/>
        <w:ind w:left="0" w:right="0"/>
        <w:jc w:val="left"/>
      </w:pPr>
      <w:r>
        <w:rPr>
          <w:rFonts w:ascii="Arial" w:hAnsi="Arial" w:eastAsia="Arial" w:cs="Arial"/>
          <w:color w:val="363A40"/>
          <w:sz w:val="24"/>
          <w:szCs w:val="24"/>
        </w:rPr>
        <w:t xml:space="preserve">Dokument-ID: 1043482 | Elisabeth Mace - Albert
Scherzer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Einstellung des Ermittlungsverfahrens</w:t>
      </w:r>
    </w:p>
    <w:p>
      <w:pPr>
        <w:widowControl w:val="on"/>
        <w:pBdr/>
        <w:spacing w:before="140" w:after="240" w:line="288" w:lineRule="auto"/>
        <w:ind w:left="0" w:right="0"/>
        <w:jc w:val="left"/>
      </w:pPr>
      <w:r>
        <w:rPr>
          <w:rFonts w:ascii="Arial" w:hAnsi="Arial" w:eastAsia="Arial" w:cs="Arial"/>
          <w:color w:val="000000"/>
          <w:sz w:val="20"/>
          <w:szCs w:val="20"/>
        </w:rPr>
        <w:t xml:space="preserve">An die</w:t>
      </w:r>
      <w:r>
        <w:rPr>
          <w:rFonts w:ascii="Arial" w:hAnsi="Arial" w:eastAsia="Arial" w:cs="Arial"/>
          <w:color w:val="000000"/>
          <w:sz w:val="20"/>
          <w:szCs w:val="20"/>
        </w:rPr>
        <w:br/>
        <w:t xml:space="preserve">Staatsanwaltschaft Wien</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140" w:after="240" w:line="288" w:lineRule="auto"/>
        <w:ind w:left="0" w:right="0"/>
        <w:jc w:val="right"/>
      </w:pPr>
      <w:r>
        <w:rPr>
          <w:rFonts w:ascii="Arial" w:hAnsi="Arial" w:eastAsia="Arial" w:cs="Arial"/>
          <w:color w:val="000000"/>
          <w:sz w:val="20"/>
          <w:szCs w:val="20"/>
        </w:rPr>
        <w:t xml:space="preserve">AZ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Strafsache gegen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Beschuldigter (Angeklagter)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gem § 8 RAO erteilt)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146 StGB</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Einstellung</w:t>
      </w:r>
    </w:p>
    <w:p>
      <w:pPr>
        <w:widowControl w:val="on"/>
        <w:pBdr/>
        <w:spacing w:before="140" w:after="240" w:line="288" w:lineRule="auto"/>
        <w:ind w:left="0" w:right="0"/>
        <w:jc w:val="right"/>
      </w:pPr>
      <w:r>
        <w:rPr>
          <w:rFonts w:ascii="Arial" w:hAnsi="Arial" w:eastAsia="Arial" w:cs="Arial"/>
          <w:color w:val="000000"/>
          <w:sz w:val="20"/>
          <w:szCs w:val="20"/>
        </w:rPr>
        <w:t xml:space="preserve">1-fach</w:t>
      </w:r>
    </w:p>
    <w:p>
      <w:pPr>
        <w:widowControl w:val="on"/>
        <w:pBdr/>
        <w:spacing w:before="140" w:after="240" w:line="288" w:lineRule="auto"/>
        <w:ind w:left="0" w:right="0"/>
        <w:jc w:val="left"/>
      </w:pPr>
      <w:r>
        <w:rPr>
          <w:rFonts w:ascii="Arial" w:hAnsi="Arial" w:eastAsia="Arial" w:cs="Arial"/>
          <w:color w:val="000000"/>
          <w:sz w:val="20"/>
          <w:szCs w:val="20"/>
        </w:rPr>
        <w:t xml:space="preserve">Nach den vorliegenden Ermittlungsergebnissen steht fest, dass
die dem Beschuldigten angelastete Tat nicht mit gerichtlicher
Strafe bedroht ist. Die dem Ermittlungsverfahren zugrunde liegende
Tat erfüllt nicht den Tatbestand des Betruges nach § 146
StGB.</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Der gegen den Beschuldigten bestehende Tatverdacht rechtfertigt
die Fortsetzung des Ermittlungsverfahrens Von einer weiteren
Klärung des Sachverhalts ist eine Intensivierung des Verdachts
nicht zu erwarten. Die bisher durchgeführten Erhebungen und
Ermittlungen haben über mehr als 1,5 Jahre zu keinem Ergebnis
geführt und liegen bis dato keine Ermittlungsergebnisse vor, die
den Verdacht eines Betruges erhärten konnten. Der anfänglich gegen
den Beschuldigten bestehende Tatverdacht hat sich trotz des
umfangreichen, bereits 1,5 Jahre andauernden Ermittlungsverfahrens
nicht erhärtet.</w:t>
      </w:r>
    </w:p>
    <w:p>
      <w:pPr>
        <w:widowControl w:val="on"/>
        <w:pBdr/>
        <w:spacing w:before="140" w:after="240" w:line="288" w:lineRule="auto"/>
        <w:ind w:left="0" w:right="0"/>
        <w:jc w:val="left"/>
      </w:pPr>
      <w:r>
        <w:rPr>
          <w:rFonts w:ascii="Arial" w:hAnsi="Arial" w:eastAsia="Arial" w:cs="Arial"/>
          <w:color w:val="000000"/>
          <w:sz w:val="20"/>
          <w:szCs w:val="20"/>
        </w:rPr>
        <w:t xml:space="preserve">Der Beschuldigte stellt daher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gegen ihn eingeleitete Strafverfahren umgehend
einzustellen.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XX</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1070069" w:name="note1"/>
            <w:bookmarkEnd w:id="61070069"/>
            <w:bookmarkStart w:id="6421158191645" w:name="note1"/>
            <w:r>
              <w:rPr>
                <w:rFonts w:ascii="Arial" w:hAnsi="Arial" w:eastAsia="Arial" w:cs="Arial"/>
                <w:b/>
                <w:bCs/>
                <w:color w:val="000000"/>
                <w:position w:val="0"/>
                <w:sz w:val="20"/>
                <w:szCs w:val="20"/>
              </w:rPr>
              <w:t xml:space="preserve">[1]</w:t>
            </w:r>
            <w:bookmarkEnd w:id="642115819164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Einbringung: Der Antrag ist bei der Staatsanwaltschaft
einzubringen. Ein Antrag auf Einstellung gem § 108 Abs 1
Z 2 darf gemäß StPO frühestens drei Monate, wird dem
Beschuldigten jedoch ein Verbrechen zur Last gelegt, sechs Monate
ab Beginn des Strafverfahrens eingebracht werden. Die
Staatsanwaltschaft hat das Verfahren einzustellen oder den Antrag
längstens binnen vier Wochen mit einer allfälligen Stellungnahme an
das Gericht weiterzuleiten. Stellungnahmen der Staatsanwaltschaft
hat das Gericht dem Einspruchswerber zur Äußerung binnen einer
festzusetzenden, sieben Tage nicht übersteigenden Frist
zuzustellen.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1755081" w:name="note2"/>
            <w:bookmarkEnd w:id="31755081"/>
            <w:bookmarkStart w:id="1238982179825" w:name="note2"/>
            <w:r>
              <w:rPr>
                <w:rFonts w:ascii="Arial" w:hAnsi="Arial" w:eastAsia="Arial" w:cs="Arial"/>
                <w:b/>
                <w:bCs/>
                <w:color w:val="000000"/>
                <w:position w:val="0"/>
                <w:sz w:val="20"/>
                <w:szCs w:val="20"/>
              </w:rPr>
              <w:t xml:space="preserve">[2]</w:t>
            </w:r>
            <w:bookmarkEnd w:id="123898217982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Verhältnismäßigkeitsprüfung: Durch eine Antragstellung gem
§ 108 StPO hingegen kann der Beschuldigte eine entsprechende
Kontrolle innerhalb der Schranken der von § 108 Abs 1
Z 2 StPO vorgesehenen Abwägung zwischen Dringlichkeit und
Gewicht des Tatverdachts einerseits und Dauer und Umfang der
Ermittlungen andererseits veranlassen und bei entsprechendem
Ausgang dieser Verhältnismäßigkeitsprüfung die
Verfahrenseinstellung unmittelbar durch das Gericht erreichen (OGH
05.03.2019, 14 Os 16/19p).</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2700808" w:name="note3"/>
            <w:bookmarkEnd w:id="62700808"/>
            <w:bookmarkStart w:id="801747013274" w:name="note3"/>
            <w:r>
              <w:rPr>
                <w:rFonts w:ascii="Arial" w:hAnsi="Arial" w:eastAsia="Arial" w:cs="Arial"/>
                <w:b/>
                <w:bCs/>
                <w:color w:val="000000"/>
                <w:position w:val="0"/>
                <w:sz w:val="20"/>
                <w:szCs w:val="20"/>
              </w:rPr>
              <w:t xml:space="preserve">[3]</w:t>
            </w:r>
            <w:bookmarkEnd w:id="80174701327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Zeitpunkt: Da Anträge auf Einstellung des Verfahrens nach dem
Einbringen der Anklage (Anklageschrift, Strafantrag) nicht mehr
zulässig sind und bereits eingebrachte, bis dahin unerledigte
Anträge gegenstandslos werden, ist nach Einbringen der Anklage über
davor eingebrachte Einstellungsanträge nicht mehr zu entscheiden
und danach eingebrachte sind als unzulässig zurückzuweisen. Daran
ändert auch eine danach erfolgte Zurückweisung des Strafantrages
nach § 485 StPO nichts (OLG Linz 04.12.2013, 9 Bs
314/13k).</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4214132" w:name="note4"/>
            <w:bookmarkEnd w:id="44214132"/>
            <w:bookmarkStart w:id="69133960573" w:name="note4"/>
            <w:r>
              <w:rPr>
                <w:rFonts w:ascii="Arial" w:hAnsi="Arial" w:eastAsia="Arial" w:cs="Arial"/>
                <w:b/>
                <w:bCs/>
                <w:color w:val="000000"/>
                <w:position w:val="0"/>
                <w:sz w:val="20"/>
                <w:szCs w:val="20"/>
              </w:rPr>
              <w:t xml:space="preserve">[4]</w:t>
            </w:r>
            <w:bookmarkEnd w:id="6913396057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Rechtsmittelverfahren: Die Einstellung des Ermittlungsverfahrens
durch die Staatsanwaltschaft während eines anhängigen
Rechtsmittelverfahrens aufgrund einer Beschwerde gegen einen die
Einstellung des Ermittlungsverfahrens abweisenden Beschluss
bewirkt, dass die Beschwerde – sowie der Antrag –
gegenstandslos wird (OLG Linz 18.09.2019, 9 Bs 167/19a).</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5030018" w:name="note5"/>
            <w:bookmarkEnd w:id="55030018"/>
            <w:bookmarkStart w:id="9199185095045" w:name="note5"/>
            <w:r>
              <w:rPr>
                <w:rFonts w:ascii="Arial" w:hAnsi="Arial" w:eastAsia="Arial" w:cs="Arial"/>
                <w:b/>
                <w:bCs/>
                <w:color w:val="000000"/>
                <w:position w:val="0"/>
                <w:sz w:val="20"/>
                <w:szCs w:val="20"/>
              </w:rPr>
              <w:t xml:space="preserve">[5]</w:t>
            </w:r>
            <w:bookmarkEnd w:id="919918509504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Verdacht: Die objektive Aufbereitung der Beschuldigung ist die
Aufgabe der Staatsanwaltschaft. Konsequenz dieser Position der
Staatsanwaltschaft ist, dass sie den Verdacht definiert und
(ausschließlich) in ihrem Sinne aufklärt. Insofern wurde die
inquisitorische Kompetenz des Gerichts beseitigt. Damit ergibt sich
aber auch die Notwendigkeit, bei den im Einzelfall im Gesetz
vorgesehenen Überprüfungsmöglichkeiten staatsanwaltschaftlichen
Handelns durch das Gericht diesem gegenüber den von der
Staatsanwaltschaft als gegeben angenommenen Verdacht zu
konkretisieren und bei der Notwendigkeit einer gerichtlichen
Entscheidung über einen Antrag auf Einstellung gem § 108
Abs 1 Z 2 StPO (sofern es nicht offenkundig ist)
darzulegen, was aus den Ergebnissen des weiteren
Ermittlungsverfahrens noch an konkret Relevantem für die Aufklärung
der Sache erwartet wird (OLG Graz 13.06.2013, 10 Bs 139/13m).</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240266" w:name="note6"/>
            <w:bookmarkEnd w:id="4240266"/>
            <w:bookmarkStart w:id="6952040119096" w:name="note6"/>
            <w:r>
              <w:rPr>
                <w:rFonts w:ascii="Arial" w:hAnsi="Arial" w:eastAsia="Arial" w:cs="Arial"/>
                <w:b/>
                <w:bCs/>
                <w:color w:val="000000"/>
                <w:position w:val="0"/>
                <w:sz w:val="20"/>
                <w:szCs w:val="20"/>
              </w:rPr>
              <w:t xml:space="preserve">[6]</w:t>
            </w:r>
            <w:bookmarkEnd w:id="695204011909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Von praktisch großer Bedeutung ist es, darzulegen, auf welchen
der beiden gesetzlich vorgesehenen Gründe sich der Antrag stützt.
Dies liegt daran, dass es bei § 108 Abs 1 Z 2 StPO
eine Wartefrist gibt, bis dieser Antrag überhaupt erfolgreich sein
kann.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53301">
    <w:multiLevelType w:val="hybridMultilevel"/>
    <w:lvl w:ilvl="0" w:tplc="50403561">
      <w:start w:val="1"/>
      <w:numFmt w:val="decimal"/>
      <w:lvlText w:val="%1."/>
      <w:lvlJc w:val="left"/>
      <w:pPr>
        <w:ind w:left="720" w:hanging="360"/>
      </w:pPr>
    </w:lvl>
    <w:lvl w:ilvl="1" w:tplc="50403561" w:tentative="1">
      <w:start w:val="1"/>
      <w:numFmt w:val="lowerLetter"/>
      <w:lvlText w:val="%2."/>
      <w:lvlJc w:val="left"/>
      <w:pPr>
        <w:ind w:left="1440" w:hanging="360"/>
      </w:pPr>
    </w:lvl>
    <w:lvl w:ilvl="2" w:tplc="50403561" w:tentative="1">
      <w:start w:val="1"/>
      <w:numFmt w:val="lowerRoman"/>
      <w:lvlText w:val="%3."/>
      <w:lvlJc w:val="right"/>
      <w:pPr>
        <w:ind w:left="2160" w:hanging="180"/>
      </w:pPr>
    </w:lvl>
    <w:lvl w:ilvl="3" w:tplc="50403561" w:tentative="1">
      <w:start w:val="1"/>
      <w:numFmt w:val="decimal"/>
      <w:lvlText w:val="%4."/>
      <w:lvlJc w:val="left"/>
      <w:pPr>
        <w:ind w:left="2880" w:hanging="360"/>
      </w:pPr>
    </w:lvl>
    <w:lvl w:ilvl="4" w:tplc="50403561" w:tentative="1">
      <w:start w:val="1"/>
      <w:numFmt w:val="lowerLetter"/>
      <w:lvlText w:val="%5."/>
      <w:lvlJc w:val="left"/>
      <w:pPr>
        <w:ind w:left="3600" w:hanging="360"/>
      </w:pPr>
    </w:lvl>
    <w:lvl w:ilvl="5" w:tplc="50403561" w:tentative="1">
      <w:start w:val="1"/>
      <w:numFmt w:val="lowerRoman"/>
      <w:lvlText w:val="%6."/>
      <w:lvlJc w:val="right"/>
      <w:pPr>
        <w:ind w:left="4320" w:hanging="180"/>
      </w:pPr>
    </w:lvl>
    <w:lvl w:ilvl="6" w:tplc="50403561" w:tentative="1">
      <w:start w:val="1"/>
      <w:numFmt w:val="decimal"/>
      <w:lvlText w:val="%7."/>
      <w:lvlJc w:val="left"/>
      <w:pPr>
        <w:ind w:left="5040" w:hanging="360"/>
      </w:pPr>
    </w:lvl>
    <w:lvl w:ilvl="7" w:tplc="50403561" w:tentative="1">
      <w:start w:val="1"/>
      <w:numFmt w:val="lowerLetter"/>
      <w:lvlText w:val="%8."/>
      <w:lvlJc w:val="left"/>
      <w:pPr>
        <w:ind w:left="5760" w:hanging="360"/>
      </w:pPr>
    </w:lvl>
    <w:lvl w:ilvl="8" w:tplc="50403561" w:tentative="1">
      <w:start w:val="1"/>
      <w:numFmt w:val="lowerRoman"/>
      <w:lvlText w:val="%9."/>
      <w:lvlJc w:val="right"/>
      <w:pPr>
        <w:ind w:left="6480" w:hanging="180"/>
      </w:pPr>
    </w:lvl>
  </w:abstractNum>
  <w:abstractNum w:abstractNumId="11753300">
    <w:multiLevelType w:val="hybridMultilevel"/>
    <w:lvl w:ilvl="0" w:tplc="73893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53300">
    <w:abstractNumId w:val="11753300"/>
  </w:num>
  <w:num w:numId="11753301">
    <w:abstractNumId w:val="117533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57600121" Type="http://schemas.openxmlformats.org/officeDocument/2006/relationships/numbering" Target="numbering.xml"/><Relationship Id="rId83483560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