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55085767" w:name="document"/>
    <w:bookmarkEnd w:id="55085767"/>
    <w:p/>
    <w:p>
      <w:pPr>
        <w:widowControl w:val="on"/>
        <w:pBdr/>
        <w:spacing w:before="0" w:after="280" w:line="240" w:lineRule="auto"/>
        <w:ind w:left="0" w:right="0"/>
        <w:jc w:val="left"/>
      </w:pPr>
      <w:r>
        <w:rPr>
          <w:rFonts w:ascii="Arial" w:hAnsi="Arial" w:eastAsia="Arial" w:cs="Arial"/>
          <w:color w:val="363A40"/>
          <w:sz w:val="24"/>
          <w:szCs w:val="24"/>
        </w:rPr>
        <w:t xml:space="preserve">Dokument-ID: 793295 | Silvia Vinkovits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Antrag auf bedingte Entlassung</w:t>
      </w:r>
    </w:p>
    <w:p>
      <w:pPr>
        <w:widowControl w:val="on"/>
        <w:pBdr/>
        <w:spacing w:before="140" w:after="240" w:line="288" w:lineRule="auto"/>
        <w:ind w:left="0" w:right="0"/>
        <w:jc w:val="left"/>
      </w:pPr>
      <w:r>
        <w:rPr>
          <w:rFonts w:ascii="Arial" w:hAnsi="Arial" w:eastAsia="Arial" w:cs="Arial"/>
          <w:color w:val="000000"/>
          <w:sz w:val="20"/>
          <w:szCs w:val="20"/>
        </w:rPr>
        <w:t xml:space="preserve">Landesgericht für Strafsachen Wien</w:t>
      </w:r>
      <w:r>
        <w:rPr>
          <w:rFonts w:ascii="Arial" w:hAnsi="Arial" w:eastAsia="Arial" w:cs="Arial"/>
          <w:color w:val="000000"/>
          <w:sz w:val="20"/>
          <w:szCs w:val="20"/>
        </w:rPr>
        <w:br/>
        <w:t xml:space="preserve">Landesgerichtsstraße 11</w:t>
      </w:r>
      <w:r>
        <w:rPr>
          <w:rFonts w:ascii="Arial" w:hAnsi="Arial" w:eastAsia="Arial" w:cs="Arial"/>
          <w:color w:val="000000"/>
          <w:sz w:val="20"/>
          <w:szCs w:val="20"/>
        </w:rPr>
        <w:br/>
        <w:t xml:space="preserve">1080 Wien</w:t>
      </w:r>
    </w:p>
    <w:p>
      <w:pPr>
        <w:widowControl w:val="on"/>
        <w:pBdr/>
        <w:spacing w:before="140" w:after="240" w:line="288" w:lineRule="auto"/>
        <w:ind w:left="0" w:right="0"/>
        <w:jc w:val="right"/>
      </w:pPr>
      <w:r>
        <w:rPr>
          <w:rFonts w:ascii="Arial" w:hAnsi="Arial" w:eastAsia="Arial" w:cs="Arial"/>
          <w:color w:val="000000"/>
          <w:sz w:val="20"/>
          <w:szCs w:val="20"/>
        </w:rPr>
        <w:t xml:space="preserve">Ort, Datum</w:t>
      </w:r>
      <w:r>
        <w:rPr>
          <w:rFonts w:ascii="Arial" w:hAnsi="Arial" w:eastAsia="Arial" w:cs="Arial"/>
          <w:color w:val="000000"/>
          <w:sz w:val="20"/>
          <w:szCs w:val="20"/>
        </w:rPr>
        <w:br/>
        <w:t xml:space="preserve">AZ …</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Antragsteller: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X.Y., geb am …</w:t>
            </w:r>
            <w:r>
              <w:rPr>
                <w:rFonts w:ascii="Arial" w:hAnsi="Arial" w:eastAsia="Arial" w:cs="Arial"/>
                <w:color w:val="000000"/>
                <w:position w:val="0"/>
                <w:sz w:val="20"/>
                <w:szCs w:val="20"/>
                <w:shd w:val="clear" w:color="auto" w:fill="FFFFFF"/>
              </w:rPr>
              <w:br/>
              <w:t xml:space="preserve">derzeit in Strafhaft in der</w:t>
            </w:r>
            <w:r>
              <w:rPr>
                <w:rFonts w:ascii="Arial" w:hAnsi="Arial" w:eastAsia="Arial" w:cs="Arial"/>
                <w:color w:val="000000"/>
                <w:position w:val="0"/>
                <w:sz w:val="20"/>
                <w:szCs w:val="20"/>
                <w:shd w:val="clear" w:color="auto" w:fill="FFFFFF"/>
              </w:rPr>
              <w:br/>
              <w:t xml:space="preserve">Justizanstalt Josefstadt</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Dr. Z.Z., Rechtsanwalt</w:t>
            </w:r>
            <w:r>
              <w:rPr>
                <w:rFonts w:ascii="Arial" w:hAnsi="Arial" w:eastAsia="Arial" w:cs="Arial"/>
                <w:color w:val="000000"/>
                <w:position w:val="0"/>
                <w:sz w:val="20"/>
                <w:szCs w:val="20"/>
                <w:shd w:val="clear" w:color="auto" w:fill="FFFFFF"/>
              </w:rPr>
              <w:br/>
              <w:t xml:space="preserve">Adresse</w:t>
            </w:r>
            <w:r>
              <w:rPr>
                <w:rFonts w:ascii="Arial" w:hAnsi="Arial" w:eastAsia="Arial" w:cs="Arial"/>
                <w:color w:val="000000"/>
                <w:position w:val="0"/>
                <w:sz w:val="20"/>
                <w:szCs w:val="20"/>
                <w:shd w:val="clear" w:color="auto" w:fill="FFFFFF"/>
              </w:rPr>
              <w:br/>
              <w:t xml:space="preserve">ev R-Code</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(Vollmacht erteilt)</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28 SMG, 15 StGB</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Antrag gem § 46 StGB</w:t>
      </w:r>
    </w:p>
    <w:p>
      <w:pPr>
        <w:widowControl w:val="on"/>
        <w:pBdr/>
        <w:spacing w:before="140" w:after="240" w:line="288" w:lineRule="auto"/>
        <w:ind w:left="0" w:right="0"/>
        <w:jc w:val="right"/>
      </w:pPr>
      <w:r>
        <w:rPr>
          <w:rFonts w:ascii="Arial" w:hAnsi="Arial" w:eastAsia="Arial" w:cs="Arial"/>
          <w:color w:val="000000"/>
          <w:sz w:val="20"/>
          <w:szCs w:val="20"/>
        </w:rPr>
        <w:t xml:space="preserve">1-fach</w:t>
      </w:r>
      <w:r>
        <w:rPr>
          <w:rFonts w:ascii="Arial" w:hAnsi="Arial" w:eastAsia="Arial" w:cs="Arial"/>
          <w:color w:val="000000"/>
          <w:sz w:val="20"/>
          <w:szCs w:val="20"/>
        </w:rPr>
        <w:br/>
        <w:t xml:space="preserve">2 Beilagen</w:t>
      </w:r>
    </w:p>
    <w:p>
      <w:pPr>
        <w:widowControl w:val="on"/>
        <w:pBdr/>
        <w:spacing w:before="140" w:after="240" w:line="288" w:lineRule="auto"/>
        <w:ind w:left="0" w:right="0"/>
        <w:jc w:val="left"/>
      </w:pPr>
      <w:r>
        <w:rPr>
          <w:rFonts w:ascii="Arial" w:hAnsi="Arial" w:eastAsia="Arial" w:cs="Arial"/>
          <w:color w:val="000000"/>
          <w:sz w:val="20"/>
          <w:szCs w:val="20"/>
        </w:rPr>
        <w:t xml:space="preserve">Die Antragstellerin wurde mit Urteil des Landesgerichtes für
Strafsachen Wien, AZ … wegen des teils vollendeten, teils
versuchten Verbrechens nach den §§ 28 Abs 2 SMG, 15 StGB
rechtskräftig zu einer unbedingten Freiheitsstrafe in der Dauer von
acht Monaten verurteilt.</w:t>
      </w:r>
    </w:p>
    <w:p>
      <w:pPr>
        <w:widowControl w:val="on"/>
        <w:pBdr/>
        <w:spacing w:before="140" w:after="240" w:line="288" w:lineRule="auto"/>
        <w:ind w:left="0" w:right="0"/>
        <w:jc w:val="left"/>
      </w:pPr>
      <w:r>
        <w:rPr>
          <w:rFonts w:ascii="Arial" w:hAnsi="Arial" w:eastAsia="Arial" w:cs="Arial"/>
          <w:color w:val="000000"/>
          <w:sz w:val="20"/>
          <w:szCs w:val="20"/>
        </w:rPr>
        <w:t xml:space="preserve">Die Antragstellerin hat sich letztlich als schuldeinsichtig
erwiesen und ein reumütiges Geständnis abgelegt. Das Gericht hat
bei der Beurteilung des verfahrensgegenständlichen Sachverhaltes
die persönlichen Verhältnisse der Antragstellerin eingehend
geprüft. Dabei wurde der Umstand mildernd berücksichtigt, dass sich
diese zu den ihr angelasteten Suchtgifttatbeständen primär aufgrund
der Zuneigung zu ihrem damaligen Freund N.N. hat hinreißen lassen,
dh aus dem Bestreben, ihm aufgrund seiner Suchtmittelabhängigkeit
zu helfen und die ihr angelasteten Delikte primär zur Linderung
seiner Entzugserscheinungen verwirklichte.</w:t>
      </w:r>
    </w:p>
    <w:p>
      <w:pPr>
        <w:widowControl w:val="on"/>
        <w:pBdr/>
        <w:spacing w:before="140" w:after="240" w:line="288" w:lineRule="auto"/>
        <w:ind w:left="0" w:right="0"/>
        <w:jc w:val="left"/>
      </w:pPr>
      <w:r>
        <w:rPr>
          <w:rFonts w:ascii="Arial" w:hAnsi="Arial" w:eastAsia="Arial" w:cs="Arial"/>
          <w:color w:val="000000"/>
          <w:sz w:val="20"/>
          <w:szCs w:val="20"/>
        </w:rPr>
        <w:t xml:space="preserve">Die Antragstellerin weist nur eine nicht einschlägige Vorstrafe
auf, die einer an sich günstigen Lebensführungsprognose nicht per
se entgegensteht. Sie stammt aus besonders geordneten Verhältnissen
und hat inzwischen ihre Verfehlungen als unrichtig erkannt. Man
kann daher zweifellos von einem – im weitesten Sinne – einmaligen
bzw aus speziellen Umständen heraus erklärbaren Fehlverhalten
sprechen.</w:t>
      </w:r>
    </w:p>
    <w:p>
      <w:pPr>
        <w:widowControl w:val="on"/>
        <w:pBdr/>
        <w:spacing w:before="140" w:after="240" w:line="288" w:lineRule="auto"/>
        <w:ind w:left="0" w:right="0"/>
        <w:jc w:val="left"/>
      </w:pPr>
      <w:r>
        <w:rPr>
          <w:rFonts w:ascii="Arial" w:hAnsi="Arial" w:eastAsia="Arial" w:cs="Arial"/>
          <w:color w:val="000000"/>
          <w:sz w:val="20"/>
          <w:szCs w:val="20"/>
        </w:rPr>
        <w:t xml:space="preserve">Die Antragstellerin hat fast die Hälfte der im Urteil über sie
verhängten Freiheitsstrafe, jedenfalls aber bereits drei Monate
verbüßt und es wäre gem § 46 Abs 1 StGB eine
bedingte Nachsicht des Strafrestes unter Bestimmung einer Probezeit
angezeigt. Dies deshalb, da bei dieser Sachverhaltskonstellation
mit an Sicherheit grenzender Wahrscheinlichkeit anzunehmen ist,
dass es nicht der Vollstreckung der gesamten Freiheitsstrafe
bedarf, um sie künftig von weiteren Straftaten abzuhalten.</w:t>
      </w:r>
    </w:p>
    <w:p>
      <w:pPr>
        <w:widowControl w:val="on"/>
        <w:pBdr/>
        <w:spacing w:before="140" w:after="240" w:line="288" w:lineRule="auto"/>
        <w:ind w:left="0" w:right="0"/>
        <w:jc w:val="left"/>
      </w:pPr>
      <w:r>
        <w:rPr>
          <w:rFonts w:ascii="Arial" w:hAnsi="Arial" w:eastAsia="Arial" w:cs="Arial"/>
          <w:color w:val="000000"/>
          <w:sz w:val="20"/>
          <w:szCs w:val="20"/>
        </w:rPr>
        <w:t xml:space="preserve">Die Antragstellerin hat stets regelmäßig gearbeitet, da ihre
Familie ein Restaurant betreibt, in dem sie nach ihrer
Haftentlassung sofort wieder mitarbeiten könnte. Im Übrigen wird
sie dort dringend benötigt, da die Mutter der Antragstellerin sich
in Kürze einer Bandscheibenoperation unterziehen muss und daher
durch eine mit den Besonderheiten der serbischen Küche vertraute
Person ersetzt werden muss, um den Familienbetrieb wie bisher
fortführen zu können.</w:t>
      </w:r>
    </w:p>
    <w:p>
      <w:pPr>
        <w:widowControl w:val="on"/>
        <w:pBdr/>
        <w:spacing w:before="140" w:after="240" w:line="288" w:lineRule="auto"/>
        <w:ind w:left="0" w:right="0"/>
        <w:jc w:val="left"/>
      </w:pPr>
      <w:r>
        <w:rPr>
          <w:rFonts w:ascii="Arial" w:hAnsi="Arial" w:eastAsia="Arial" w:cs="Arial"/>
          <w:color w:val="000000"/>
          <w:sz w:val="20"/>
          <w:szCs w:val="20"/>
        </w:rPr>
        <w:t xml:space="preserve">Das Vorleben der Antragstellerin ist nicht nachhaltig getrübt,
ihr Lebenswandel war – abgesehen von den beiden erwähnten
Verurteilungen – durchaus ordentlich, sodass ihre beruflichen und
persönlichen Zukunftsaussichten als vielversprechend zu werten
sind.</w:t>
      </w:r>
    </w:p>
    <w:p>
      <w:pPr>
        <w:widowControl w:val="on"/>
        <w:pBdr/>
        <w:spacing w:before="140" w:after="240" w:line="288" w:lineRule="auto"/>
        <w:ind w:left="0" w:right="0"/>
        <w:jc w:val="left"/>
      </w:pPr>
      <w:r>
        <w:rPr>
          <w:rFonts w:ascii="Arial" w:hAnsi="Arial" w:eastAsia="Arial" w:cs="Arial"/>
          <w:color w:val="000000"/>
          <w:sz w:val="20"/>
          <w:szCs w:val="20"/>
        </w:rPr>
        <w:t xml:space="preserve">Zudem wäre sie jedenfalls bereit, ergänzenden Weisungen des
Gerichtes im Falle einer vorzeitigen bedingten Entlassung aus der
Freiheitsstrafe nachzukommen. Spezialpräventiv war das Verspüren
des Haftübels ein für die Antragstellerin äußerst einschneidendes
Erlebnis, weshalb Gewähr dafür besteht, dass sie sich künftig
rechtstreu verhalten und das Suchtgiftmilieu meiden wird.</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Einstellungszusage vom (Datum), Beilage 1</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Befunde samt OP-Termin des AKH der Stadt Wien, Beilage 2</w:t>
            </w:r>
          </w:p>
        </w:tc>
      </w:tr>
    </w:tbl>
    <w:p>
      <w:pPr>
        <w:widowControl w:val="on"/>
        <w:pBdr/>
        <w:spacing w:before="140" w:after="240" w:line="288" w:lineRule="auto"/>
        <w:ind w:left="0" w:right="0"/>
        <w:jc w:val="left"/>
      </w:pPr>
      <w:r>
        <w:rPr>
          <w:rFonts w:ascii="Arial" w:hAnsi="Arial" w:eastAsia="Arial" w:cs="Arial"/>
          <w:color w:val="000000"/>
          <w:sz w:val="20"/>
          <w:szCs w:val="20"/>
        </w:rPr>
        <w:t xml:space="preserve">Aus all diesen Gründen ergeht der</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w:t>
      </w:r>
    </w:p>
    <w:p>
      <w:pPr>
        <w:widowControl w:val="on"/>
        <w:pBdr/>
        <w:spacing w:before="140" w:after="240" w:line="288" w:lineRule="auto"/>
        <w:ind w:left="0" w:right="0"/>
        <w:jc w:val="left"/>
      </w:pPr>
      <w:r>
        <w:rPr>
          <w:rFonts w:ascii="Arial" w:hAnsi="Arial" w:eastAsia="Arial" w:cs="Arial"/>
          <w:color w:val="000000"/>
          <w:sz w:val="20"/>
          <w:szCs w:val="20"/>
        </w:rPr>
        <w:t xml:space="preserve">der Antragstellerin den Rest der verhängten Freiheitsstrafe
unter Bestimmung einer Probezeit gem § 46 Abs 1 StGB
bedingt nachzusehen und sie möglichst umgehend zu enthaften.</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X.Y.</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263389">
    <w:multiLevelType w:val="hybridMultilevel"/>
    <w:lvl w:ilvl="0" w:tplc="28898344">
      <w:start w:val="1"/>
      <w:numFmt w:val="decimal"/>
      <w:lvlText w:val="%1."/>
      <w:lvlJc w:val="left"/>
      <w:pPr>
        <w:ind w:left="720" w:hanging="360"/>
      </w:pPr>
    </w:lvl>
    <w:lvl w:ilvl="1" w:tplc="28898344" w:tentative="1">
      <w:start w:val="1"/>
      <w:numFmt w:val="lowerLetter"/>
      <w:lvlText w:val="%2."/>
      <w:lvlJc w:val="left"/>
      <w:pPr>
        <w:ind w:left="1440" w:hanging="360"/>
      </w:pPr>
    </w:lvl>
    <w:lvl w:ilvl="2" w:tplc="28898344" w:tentative="1">
      <w:start w:val="1"/>
      <w:numFmt w:val="lowerRoman"/>
      <w:lvlText w:val="%3."/>
      <w:lvlJc w:val="right"/>
      <w:pPr>
        <w:ind w:left="2160" w:hanging="180"/>
      </w:pPr>
    </w:lvl>
    <w:lvl w:ilvl="3" w:tplc="28898344" w:tentative="1">
      <w:start w:val="1"/>
      <w:numFmt w:val="decimal"/>
      <w:lvlText w:val="%4."/>
      <w:lvlJc w:val="left"/>
      <w:pPr>
        <w:ind w:left="2880" w:hanging="360"/>
      </w:pPr>
    </w:lvl>
    <w:lvl w:ilvl="4" w:tplc="28898344" w:tentative="1">
      <w:start w:val="1"/>
      <w:numFmt w:val="lowerLetter"/>
      <w:lvlText w:val="%5."/>
      <w:lvlJc w:val="left"/>
      <w:pPr>
        <w:ind w:left="3600" w:hanging="360"/>
      </w:pPr>
    </w:lvl>
    <w:lvl w:ilvl="5" w:tplc="28898344" w:tentative="1">
      <w:start w:val="1"/>
      <w:numFmt w:val="lowerRoman"/>
      <w:lvlText w:val="%6."/>
      <w:lvlJc w:val="right"/>
      <w:pPr>
        <w:ind w:left="4320" w:hanging="180"/>
      </w:pPr>
    </w:lvl>
    <w:lvl w:ilvl="6" w:tplc="28898344" w:tentative="1">
      <w:start w:val="1"/>
      <w:numFmt w:val="decimal"/>
      <w:lvlText w:val="%7."/>
      <w:lvlJc w:val="left"/>
      <w:pPr>
        <w:ind w:left="5040" w:hanging="360"/>
      </w:pPr>
    </w:lvl>
    <w:lvl w:ilvl="7" w:tplc="28898344" w:tentative="1">
      <w:start w:val="1"/>
      <w:numFmt w:val="lowerLetter"/>
      <w:lvlText w:val="%8."/>
      <w:lvlJc w:val="left"/>
      <w:pPr>
        <w:ind w:left="5760" w:hanging="360"/>
      </w:pPr>
    </w:lvl>
    <w:lvl w:ilvl="8" w:tplc="28898344" w:tentative="1">
      <w:start w:val="1"/>
      <w:numFmt w:val="lowerRoman"/>
      <w:lvlText w:val="%9."/>
      <w:lvlJc w:val="right"/>
      <w:pPr>
        <w:ind w:left="6480" w:hanging="180"/>
      </w:pPr>
    </w:lvl>
  </w:abstractNum>
  <w:abstractNum w:abstractNumId="55263388">
    <w:multiLevelType w:val="hybridMultilevel"/>
    <w:lvl w:ilvl="0" w:tplc="291799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263388">
    <w:abstractNumId w:val="55263388"/>
  </w:num>
  <w:num w:numId="55263389">
    <w:abstractNumId w:val="552633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269736519" Type="http://schemas.openxmlformats.org/officeDocument/2006/relationships/numbering" Target="numbering.xml"/><Relationship Id="rId784809415"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