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52896730" w:name="document"/>
    <w:bookmarkEnd w:id="52896730"/>
    <w:p/>
    <w:p>
      <w:pPr>
        <w:widowControl w:val="on"/>
        <w:pBdr/>
        <w:spacing w:before="0" w:after="280" w:line="240" w:lineRule="auto"/>
        <w:ind w:left="0" w:right="0"/>
        <w:jc w:val="left"/>
      </w:pPr>
      <w:r>
        <w:rPr>
          <w:rFonts w:ascii="Arial" w:hAnsi="Arial" w:eastAsia="Arial" w:cs="Arial"/>
          <w:color w:val="363A40"/>
          <w:sz w:val="24"/>
          <w:szCs w:val="24"/>
        </w:rPr>
        <w:t xml:space="preserve">Dokument-ID: 780343 | Silvia Vinkovits - Albert
Scherzer | Muster | Korrespondenz</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Beschwerde gegen den Widerruf der bedingten Entlassung</w:t>
      </w:r>
    </w:p>
    <w:p>
      <w:pPr>
        <w:widowControl w:val="on"/>
        <w:pBdr/>
        <w:spacing w:before="140" w:after="240" w:line="288" w:lineRule="auto"/>
        <w:ind w:left="0" w:right="0"/>
        <w:jc w:val="left"/>
      </w:pPr>
      <w:r>
        <w:rPr>
          <w:rFonts w:ascii="Arial" w:hAnsi="Arial" w:eastAsia="Arial" w:cs="Arial"/>
          <w:color w:val="000000"/>
          <w:sz w:val="20"/>
          <w:szCs w:val="20"/>
        </w:rPr>
        <w:t xml:space="preserve">Landesgericht für Strafsachen Wien</w:t>
      </w:r>
      <w:r>
        <w:rPr>
          <w:rFonts w:ascii="Arial" w:hAnsi="Arial" w:eastAsia="Arial" w:cs="Arial"/>
          <w:color w:val="000000"/>
          <w:sz w:val="20"/>
          <w:szCs w:val="20"/>
        </w:rPr>
        <w:br/>
        <w:t xml:space="preserve">Landesgerichtsstraße 11</w:t>
      </w:r>
      <w:r>
        <w:rPr>
          <w:rFonts w:ascii="Arial" w:hAnsi="Arial" w:eastAsia="Arial" w:cs="Arial"/>
          <w:color w:val="000000"/>
          <w:sz w:val="20"/>
          <w:szCs w:val="20"/>
        </w:rPr>
        <w:br/>
        <w:t xml:space="preserve">1082 Wien</w:t>
      </w:r>
    </w:p>
    <w:p>
      <w:pPr>
        <w:widowControl w:val="on"/>
        <w:pBdr/>
        <w:spacing w:before="140" w:after="240" w:line="288" w:lineRule="auto"/>
        <w:ind w:left="0" w:right="0"/>
        <w:jc w:val="right"/>
      </w:pPr>
      <w:r>
        <w:rPr>
          <w:rFonts w:ascii="Arial" w:hAnsi="Arial" w:eastAsia="Arial" w:cs="Arial"/>
          <w:color w:val="000000"/>
          <w:sz w:val="20"/>
          <w:szCs w:val="20"/>
        </w:rPr>
        <w:t xml:space="preserve">AZ: … BE …/…</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Beschwerdeführer: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X.Y., geboren am …</w:t>
            </w:r>
            <w:r>
              <w:rPr>
                <w:rFonts w:ascii="Arial" w:hAnsi="Arial" w:eastAsia="Arial" w:cs="Arial"/>
                <w:color w:val="000000"/>
                <w:position w:val="0"/>
                <w:sz w:val="20"/>
                <w:szCs w:val="20"/>
                <w:shd w:val="clear" w:color="auto" w:fill="FFFFFF"/>
              </w:rPr>
              <w:br/>
              <w:t xml:space="preserve">dzt JA Josefstadt Adresse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N.N., Rechtsanwalt</w:t>
            </w:r>
            <w:r>
              <w:rPr>
                <w:rFonts w:ascii="Arial" w:hAnsi="Arial" w:eastAsia="Arial" w:cs="Arial"/>
                <w:color w:val="000000"/>
                <w:position w:val="0"/>
                <w:sz w:val="20"/>
                <w:szCs w:val="20"/>
                <w:shd w:val="clear" w:color="auto" w:fill="FFFFFF"/>
              </w:rPr>
              <w:br/>
              <w:t xml:space="preserve">Adresse, ev R-Code</w:t>
            </w:r>
            <w:r>
              <w:rPr>
                <w:rFonts w:ascii="Arial" w:hAnsi="Arial" w:eastAsia="Arial" w:cs="Arial"/>
                <w:color w:val="000000"/>
                <w:position w:val="0"/>
                <w:sz w:val="20"/>
                <w:szCs w:val="20"/>
                <w:shd w:val="clear" w:color="auto" w:fill="FFFFFF"/>
              </w:rPr>
              <w:br/>
              <w:t xml:space="preserve">(als mit Bescheid der RAK Wien bestellter VH)</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27, 28 SMG</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 Beschwerde</w:t>
      </w:r>
    </w:p>
    <w:p>
      <w:pPr>
        <w:widowControl w:val="on"/>
        <w:pBdr/>
        <w:spacing w:before="140" w:after="240" w:line="288" w:lineRule="auto"/>
        <w:ind w:left="0" w:right="0"/>
        <w:jc w:val="right"/>
      </w:pPr>
      <w:r>
        <w:rPr>
          <w:rFonts w:ascii="Arial" w:hAnsi="Arial" w:eastAsia="Arial" w:cs="Arial"/>
          <w:color w:val="000000"/>
          <w:sz w:val="20"/>
          <w:szCs w:val="20"/>
        </w:rPr>
        <w:t xml:space="preserve">1-fach</w:t>
      </w:r>
    </w:p>
    <w:p>
      <w:pPr>
        <w:widowControl w:val="on"/>
        <w:pBdr/>
        <w:spacing w:before="140" w:after="240" w:line="288" w:lineRule="auto"/>
        <w:ind w:left="0" w:right="0"/>
        <w:jc w:val="left"/>
      </w:pPr>
      <w:r>
        <w:rPr>
          <w:rFonts w:ascii="Arial" w:hAnsi="Arial" w:eastAsia="Arial" w:cs="Arial"/>
          <w:color w:val="000000"/>
          <w:sz w:val="20"/>
          <w:szCs w:val="20"/>
        </w:rPr>
        <w:t xml:space="preserve">In außen näher bezeichneter Strafsache wurde die seinerzeit mit
Beschluss des Oberlandesgerichtes Wien vom … [Datum], AZ … Bs …/…
angeordnete bedingte Entlassung des Beschwerdeführers mit Beschluss
des Landesgerichtes für Strafsachen Wien vom … [Datum], AZ: …
widerrufen.</w:t>
      </w:r>
    </w:p>
    <w:p>
      <w:pPr>
        <w:widowControl w:val="on"/>
        <w:pBdr/>
        <w:spacing w:before="140" w:after="240" w:line="288" w:lineRule="auto"/>
        <w:ind w:left="0" w:right="0"/>
        <w:jc w:val="left"/>
      </w:pPr>
      <w:r>
        <w:rPr>
          <w:rFonts w:ascii="Arial" w:hAnsi="Arial" w:eastAsia="Arial" w:cs="Arial"/>
          <w:color w:val="000000"/>
          <w:sz w:val="20"/>
          <w:szCs w:val="20"/>
        </w:rPr>
        <w:t xml:space="preserve">Aufgrund der Anordnung der Staatsanwaltschaft Wien vom …
[Datum], AZ … NSt …/…, wurde X.Y. am … [Datum] in die Justizanstalt
Josefstadt eingeliefert. Mit Beschluss des Landesgerichtes für
Strafsachen Wien vom … [Datum], AZ: … Be …/… wurde die
Widerrufshaft gem § 180 Abs 3 StVG bis längstens …
[Datum] verhängt und schließlich in der Haftverhandlung vom …
[Datum] bis … [Datum] verlängert.</w:t>
      </w:r>
    </w:p>
    <w:p>
      <w:pPr>
        <w:widowControl w:val="on"/>
        <w:pBdr/>
        <w:spacing w:before="140" w:after="240" w:line="288" w:lineRule="auto"/>
        <w:ind w:left="0" w:right="0"/>
        <w:jc w:val="left"/>
      </w:pPr>
      <w:r>
        <w:rPr>
          <w:rFonts w:ascii="Arial" w:hAnsi="Arial" w:eastAsia="Arial" w:cs="Arial"/>
          <w:color w:val="000000"/>
          <w:sz w:val="20"/>
          <w:szCs w:val="20"/>
        </w:rPr>
        <w:t xml:space="preserve">Anlässlich seiner Beschuldigteneinvernahme am … [Datum] wurde
dem Beschwerdeführer eine Gleichschrift des ihm bislang nicht
bekannten Widerrufsbeschlusses ausgefolgt. Nach erteilter
Rechtsmittelbelehrung gab X.Y. dazu keine Erklärung ab, da er sich
zuvor mit einem Verteidiger besprechen wollte; gleichzeitig
beantragte er Verfahrenshilfe, welche ihm auch gewährt wurde.</w:t>
      </w:r>
    </w:p>
    <w:p>
      <w:pPr>
        <w:widowControl w:val="on"/>
        <w:pBdr/>
        <w:spacing w:before="140" w:after="240" w:line="288" w:lineRule="auto"/>
        <w:ind w:left="0" w:right="0"/>
        <w:jc w:val="left"/>
      </w:pPr>
      <w:r>
        <w:rPr>
          <w:rFonts w:ascii="Arial" w:hAnsi="Arial" w:eastAsia="Arial" w:cs="Arial"/>
          <w:color w:val="000000"/>
          <w:sz w:val="20"/>
          <w:szCs w:val="20"/>
        </w:rPr>
        <w:t xml:space="preserve">Dem bestellten Verfahrenshelfer, Herrn Dr. N.N., wurde am …
[Datum] ein Teil des Aktes, darunter auch der Widerrufsbeschluss ON
…, ausgehändigt, die vierzehntägige Beschwerdefrist wurde somit in
Gang gesetzt.</w:t>
      </w:r>
    </w:p>
    <w:p>
      <w:pPr>
        <w:widowControl w:val="on"/>
        <w:pBdr/>
        <w:spacing w:before="140" w:after="240" w:line="288" w:lineRule="auto"/>
        <w:ind w:left="0" w:right="0"/>
        <w:jc w:val="left"/>
      </w:pPr>
      <w:r>
        <w:rPr>
          <w:rFonts w:ascii="Arial" w:hAnsi="Arial" w:eastAsia="Arial" w:cs="Arial"/>
          <w:color w:val="000000"/>
          <w:sz w:val="20"/>
          <w:szCs w:val="20"/>
        </w:rPr>
        <w:t xml:space="preserve">Gegen den Widerrufsbeschluss hat der Beschwerdeführer bereits
anlässlich der Haftverhandlung vom … [Datum] mündlich Beschwerde
erhoben, welche innerhalb offener Frist nunmehr wie folgt ergänzt
wird:</w:t>
      </w:r>
    </w:p>
    <w:p>
      <w:pPr>
        <w:widowControl w:val="on"/>
        <w:pBdr/>
        <w:spacing w:before="140" w:after="240" w:line="288" w:lineRule="auto"/>
        <w:ind w:left="0" w:right="0"/>
        <w:jc w:val="left"/>
      </w:pPr>
      <w:r>
        <w:rPr>
          <w:rFonts w:ascii="Arial" w:hAnsi="Arial" w:eastAsia="Arial" w:cs="Arial"/>
          <w:color w:val="000000"/>
          <w:sz w:val="20"/>
          <w:szCs w:val="20"/>
        </w:rPr>
        <w:t xml:space="preserve">Die Voraussetzungen des Widerrufs der bedingten Entlassung aus
einer Freiheitsstrafe liegen gegenständlich nicht vor.</w:t>
      </w:r>
    </w:p>
    <w:p>
      <w:pPr>
        <w:widowControl w:val="on"/>
        <w:pBdr/>
        <w:spacing w:before="140" w:after="240" w:line="288" w:lineRule="auto"/>
        <w:ind w:left="0" w:right="0"/>
        <w:jc w:val="left"/>
      </w:pPr>
      <w:r>
        <w:rPr>
          <w:rFonts w:ascii="Arial" w:hAnsi="Arial" w:eastAsia="Arial" w:cs="Arial"/>
          <w:color w:val="000000"/>
          <w:sz w:val="20"/>
          <w:szCs w:val="20"/>
        </w:rPr>
        <w:t xml:space="preserve">Das Oberlandesgericht Wien hat mit Beschluss vom … [Datum], AZ:
… Bs …/…, die bedingte Entlassung des X.Y. für … [Datum] angeordnet
und dabei unter anderem ausgesprochen, dass diesem „zur allfälligen
Gestaltung seines weiteren Lebens als Asylwerber Bewährungshilfe
beigegeben wird, um ihn in seiner künftigen Lebensführung zu
unterstützen, sofern nicht die Abschiebung durch die Fremdenpolizei
vorgesehen ist.“ Daraus geht hervor, dass die Bewährungshilfe in
erster Linie zur Unterstützung des Beschwerdeführers im anhängigen
Asylverfahren angeordnet wurde.</w:t>
      </w:r>
    </w:p>
    <w:p>
      <w:pPr>
        <w:widowControl w:val="on"/>
        <w:pBdr/>
        <w:spacing w:before="140" w:after="240" w:line="288" w:lineRule="auto"/>
        <w:ind w:left="0" w:right="0"/>
        <w:jc w:val="left"/>
      </w:pPr>
      <w:r>
        <w:rPr>
          <w:rFonts w:ascii="Arial" w:hAnsi="Arial" w:eastAsia="Arial" w:cs="Arial"/>
          <w:color w:val="000000"/>
          <w:sz w:val="20"/>
          <w:szCs w:val="20"/>
        </w:rPr>
        <w:t xml:space="preserve">Bei seiner bedingten Entlassung wurde er insbesondere nicht
darüber informiert, dass er sich entsprechend dieser Anordnung mit
dem bestellten Bewährungshelfer in Verbindung setzen muss; eine
Rechtsbelehrung über diesen wesentlichen Umstand wurde ihm weder in
seiner Muttersprache noch auf Englisch erteilt.</w:t>
      </w:r>
    </w:p>
    <w:p>
      <w:pPr>
        <w:widowControl w:val="on"/>
        <w:pBdr/>
        <w:spacing w:before="140" w:after="240" w:line="288" w:lineRule="auto"/>
        <w:ind w:left="0" w:right="0"/>
        <w:jc w:val="left"/>
      </w:pPr>
      <w:r>
        <w:rPr>
          <w:rFonts w:ascii="Arial" w:hAnsi="Arial" w:eastAsia="Arial" w:cs="Arial"/>
          <w:color w:val="000000"/>
          <w:sz w:val="20"/>
          <w:szCs w:val="20"/>
        </w:rPr>
        <w:t xml:space="preserve">X.Y. fasste unmittelbar im Anschluss an seine bedingte
Entlassung den Entschluss, seine in Italien lebende Freundin Z.Z.
zu heiraten und verließ am … [Datum] – also nur wenige Tage später
– Österreich. Aus diesem Grunde war er auch nach seiner Entlassung
in Österreich nicht mehr polizeilich gemeldet.</w:t>
      </w:r>
    </w:p>
    <w:p>
      <w:pPr>
        <w:widowControl w:val="on"/>
        <w:pBdr/>
        <w:spacing w:before="140" w:after="240" w:line="288" w:lineRule="auto"/>
        <w:ind w:left="0" w:right="0"/>
        <w:jc w:val="left"/>
      </w:pPr>
      <w:r>
        <w:rPr>
          <w:rFonts w:ascii="Arial" w:hAnsi="Arial" w:eastAsia="Arial" w:cs="Arial"/>
          <w:color w:val="000000"/>
          <w:sz w:val="20"/>
          <w:szCs w:val="20"/>
        </w:rPr>
        <w:t xml:space="preserve">Der Beschwerdeführer hatte folglich keine Kenntnis davon, dass
er verpflichtet gewesen wäre, die angeordnete Bewährungshilfe in
Anspruch zu nehmen, die als Voraussetzung seiner bedingten
Entlassung vorgesehen wurde. Ein Verschulden des X.Y. an der
Nichtbefolgung dieser Anordnung liegt somit nicht vor, da er über
die Konsequenzen des Nichtmeldens bei der Bewährungshilfe nicht
belehrt wurde und ihm diese demnach nicht bewusst waren und auch
nicht sein konnten.</w:t>
      </w:r>
    </w:p>
    <w:p>
      <w:pPr>
        <w:widowControl w:val="on"/>
        <w:pBdr/>
        <w:spacing w:before="140" w:after="240" w:line="288" w:lineRule="auto"/>
        <w:ind w:left="0" w:right="0"/>
        <w:jc w:val="left"/>
      </w:pPr>
      <w:r>
        <w:rPr>
          <w:rFonts w:ascii="Arial" w:hAnsi="Arial" w:eastAsia="Arial" w:cs="Arial"/>
          <w:color w:val="000000"/>
          <w:sz w:val="20"/>
          <w:szCs w:val="20"/>
        </w:rPr>
        <w:t xml:space="preserve">Die in der Begründung des angefochtenen Widerrufsbeschlusses
angeführte „mutwillige Nichtbefolgung“ bzw „beharrliche Entziehung
des Einflusses des Bewährungshelfers“ liegt insofern nicht vor,
weil X.Y. die Bedeutung der Konsequenzen der Anordnung der
Bewährungshilfe nicht verstanden und damit weder mutwillig noch
beharrlich handeln konnte.</w:t>
      </w:r>
    </w:p>
    <w:p>
      <w:pPr>
        <w:widowControl w:val="on"/>
        <w:pBdr/>
        <w:spacing w:before="140" w:after="240" w:line="288" w:lineRule="auto"/>
        <w:ind w:left="0" w:right="0"/>
        <w:jc w:val="left"/>
      </w:pPr>
      <w:r>
        <w:rPr>
          <w:rFonts w:ascii="Arial" w:hAnsi="Arial" w:eastAsia="Arial" w:cs="Arial"/>
          <w:color w:val="000000"/>
          <w:sz w:val="20"/>
          <w:szCs w:val="20"/>
        </w:rPr>
        <w:t xml:space="preserve">Der Widerruf der bedingten Entlassung ist weder geboten, um den
Beschwerdeführer von der Begehung weiterer Straftaten abzuhalten,
noch hat er diese dazu benutzt, dem weiteren Strafvollzug zu
entgehen.</w:t>
      </w:r>
    </w:p>
    <w:p>
      <w:pPr>
        <w:widowControl w:val="on"/>
        <w:pBdr/>
        <w:spacing w:before="140" w:after="240" w:line="288" w:lineRule="auto"/>
        <w:ind w:left="0" w:right="0"/>
        <w:jc w:val="left"/>
      </w:pPr>
      <w:r>
        <w:rPr>
          <w:rFonts w:ascii="Arial" w:hAnsi="Arial" w:eastAsia="Arial" w:cs="Arial"/>
          <w:color w:val="000000"/>
          <w:sz w:val="20"/>
          <w:szCs w:val="20"/>
        </w:rPr>
        <w:t xml:space="preserve">Da aus den genannten Gründen die Voraussetzungen für den
Widerruf der bedingten Entlassung aus einer Freiheitsstrafe nicht
vorliegen, ergeht der</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in Stattgebung der Beschwerde den Beschluss des Landesgerichtes
für Strafsachen Wien vom …. [Datum], AZ: … Be …/… aufzuheben und
vom Widerruf der bedingten Entlassung aus der Freiheitsstrafe
abzusehen.</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X.Y.</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color w:val="000000"/>
          <w:sz w:val="20"/>
          <w:szCs w:val="20"/>
        </w:rPr>
        <w:t xml:space="preserve">Zuständigkeit: Ist der nach § 53 Abs 1 zweiter Satz
StGB gebotene gemeinsame Widerruf durch das hierzu nach § 494a
StPO an sich berufene Gericht aus verfahrenstechnischen Gründen
nicht möglich, ist zur Widerrufsentscheidung jenes Gericht
zuständig, das in erster Instanz erkannt hat (RIS-Justiz
RS0126349).</w:t>
      </w:r>
    </w:p>
    <w:p>
      <w:pPr>
        <w:widowControl w:val="on"/>
        <w:pBdr/>
        <w:spacing w:before="140" w:after="240" w:line="288" w:lineRule="auto"/>
        <w:ind w:left="0" w:right="0"/>
        <w:jc w:val="left"/>
      </w:pPr>
      <w:r>
        <w:rPr>
          <w:rFonts w:ascii="Arial" w:hAnsi="Arial" w:eastAsia="Arial" w:cs="Arial"/>
          <w:color w:val="000000"/>
          <w:sz w:val="20"/>
          <w:szCs w:val="20"/>
        </w:rPr>
        <w:t xml:space="preserve">Bewährungshilfe: Für den Fall des Widerrufs einer bedingten
Entlassung hat nach § 494a Abs 3 StPO ua zwingend die
Anhörung (auch) des Bewährungshelfers des Angeklagten zu erfolgen,
wodurch sichergestellt werden soll, dass die sachverständige
Bewertung der Lebensführung des Angeklagten nach der Haftentlassung
durch den mit seiner Betreuung befassten Sozialarbeiter in die im
Rahmen der Widerrufsentscheidung zu erstellende Prognose über das
künftige Verhalten des Angeklagten miteinfließt (vgl dazu OGH
09.03.2021, 11 Os 22/21a).</w:t>
      </w:r>
    </w:p>
    <w:p>
      <w:pPr>
        <w:widowControl w:val="on"/>
        <w:pBdr/>
        <w:spacing w:before="140" w:after="240" w:line="288" w:lineRule="auto"/>
        <w:ind w:left="0" w:right="0"/>
        <w:jc w:val="left"/>
      </w:pPr>
      <w:r>
        <w:rPr>
          <w:rFonts w:ascii="Arial" w:hAnsi="Arial" w:eastAsia="Arial" w:cs="Arial"/>
          <w:color w:val="000000"/>
          <w:sz w:val="20"/>
          <w:szCs w:val="20"/>
        </w:rPr>
        <w:t xml:space="preserve">Probezeit: Ein Widerruf der bedingten Entlassung ist unzulässig,
wenn die strafbare Handlung nicht während der Probezeit, sondern
vor deren Beginn (§ 49 StGB) verübt wurde. Allerdings steht
eine strafbare Handlung, die der Rechtsbrecher in der Zeit zwischen
der Entscheidung erster Instanz und der Rechtskraft der
Entscheidung über die Gewährung der bedingten Entlassung begangen
hat, einer in der Probezeit verübten strafbaren Handlung gleich.
Das Gesetz unterscheidet auch nicht, ob der bedingt zu Entlassende
bei der neuerlichen Tatbegehung von der erstinstanzlichen
Entscheidung über die bedingte Entlassung bereits in Kenntnis war
oder erst durch die Zustellung des Beschlusses Kenntnis erlangt hat
(OGH 11.04.2019, 12 Os 38/19h).</w:t>
      </w:r>
    </w:p>
    <w:p>
      <w:pPr>
        <w:widowControl w:val="on"/>
        <w:pBdr/>
        <w:spacing w:before="140" w:after="240" w:line="288" w:lineRule="auto"/>
        <w:ind w:left="0" w:right="0"/>
        <w:jc w:val="left"/>
      </w:pPr>
      <w:r>
        <w:rPr>
          <w:rFonts w:ascii="Arial" w:hAnsi="Arial" w:eastAsia="Arial" w:cs="Arial"/>
          <w:color w:val="000000"/>
          <w:sz w:val="20"/>
          <w:szCs w:val="20"/>
        </w:rPr>
        <w:t xml:space="preserve">Neuerliche bedingte Entlassung: In Lehre und Rechtsprechung ist
unbestritten, dass nach Widerruf einer bedingten Entlassung und
weiterem Vollzug eine neuerliche bedingte Entlassung zulässig ist.
Da § 46 StGB nichts über die Möglichkeit abermaliger bedingter
Entlassung aus einer Freiheitsstrafe aussagt, beruht eine
Heranziehung in Fällen abermaliger bedingter Entlassung auf einer –
zulässigen – Analogie zu Gunsten des Verurteilten. Beim Vollzug
zeitlicher Freiheitsstrafen wird dabei der bei einer bedingten
Entlassung verbliebene Strafrest bei einem allenfalls folgenden
Vollzug jenes Restes und einer neuen Freiheitsstrafe (vgl § 53
Abs 1 StGB) bei Berechnung der Gesamtdauer (§ 46
Abs 4 StGB) veranschlagt. Demnach ist bei zeitlichen
Freiheitsstrafen die Gesamtdauer des nach einem Widerruf zu
vollziehenden Strafrestes und der zu vollziehenden neuen Strafe für
die Berechnung des Zeitpunkts der bedingten Entlassung nach der
Hälfte (§ 46 Abs 1 StGB) oder nach zwei Dritteln
(§ 46 Abs 2 StGB) maßgebend (RIS-Justiz RS0119910).</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366957">
    <w:multiLevelType w:val="hybridMultilevel"/>
    <w:lvl w:ilvl="0" w:tplc="99749030">
      <w:start w:val="1"/>
      <w:numFmt w:val="decimal"/>
      <w:lvlText w:val="%1."/>
      <w:lvlJc w:val="left"/>
      <w:pPr>
        <w:ind w:left="720" w:hanging="360"/>
      </w:pPr>
    </w:lvl>
    <w:lvl w:ilvl="1" w:tplc="99749030" w:tentative="1">
      <w:start w:val="1"/>
      <w:numFmt w:val="lowerLetter"/>
      <w:lvlText w:val="%2."/>
      <w:lvlJc w:val="left"/>
      <w:pPr>
        <w:ind w:left="1440" w:hanging="360"/>
      </w:pPr>
    </w:lvl>
    <w:lvl w:ilvl="2" w:tplc="99749030" w:tentative="1">
      <w:start w:val="1"/>
      <w:numFmt w:val="lowerRoman"/>
      <w:lvlText w:val="%3."/>
      <w:lvlJc w:val="right"/>
      <w:pPr>
        <w:ind w:left="2160" w:hanging="180"/>
      </w:pPr>
    </w:lvl>
    <w:lvl w:ilvl="3" w:tplc="99749030" w:tentative="1">
      <w:start w:val="1"/>
      <w:numFmt w:val="decimal"/>
      <w:lvlText w:val="%4."/>
      <w:lvlJc w:val="left"/>
      <w:pPr>
        <w:ind w:left="2880" w:hanging="360"/>
      </w:pPr>
    </w:lvl>
    <w:lvl w:ilvl="4" w:tplc="99749030" w:tentative="1">
      <w:start w:val="1"/>
      <w:numFmt w:val="lowerLetter"/>
      <w:lvlText w:val="%5."/>
      <w:lvlJc w:val="left"/>
      <w:pPr>
        <w:ind w:left="3600" w:hanging="360"/>
      </w:pPr>
    </w:lvl>
    <w:lvl w:ilvl="5" w:tplc="99749030" w:tentative="1">
      <w:start w:val="1"/>
      <w:numFmt w:val="lowerRoman"/>
      <w:lvlText w:val="%6."/>
      <w:lvlJc w:val="right"/>
      <w:pPr>
        <w:ind w:left="4320" w:hanging="180"/>
      </w:pPr>
    </w:lvl>
    <w:lvl w:ilvl="6" w:tplc="99749030" w:tentative="1">
      <w:start w:val="1"/>
      <w:numFmt w:val="decimal"/>
      <w:lvlText w:val="%7."/>
      <w:lvlJc w:val="left"/>
      <w:pPr>
        <w:ind w:left="5040" w:hanging="360"/>
      </w:pPr>
    </w:lvl>
    <w:lvl w:ilvl="7" w:tplc="99749030" w:tentative="1">
      <w:start w:val="1"/>
      <w:numFmt w:val="lowerLetter"/>
      <w:lvlText w:val="%8."/>
      <w:lvlJc w:val="left"/>
      <w:pPr>
        <w:ind w:left="5760" w:hanging="360"/>
      </w:pPr>
    </w:lvl>
    <w:lvl w:ilvl="8" w:tplc="99749030" w:tentative="1">
      <w:start w:val="1"/>
      <w:numFmt w:val="lowerRoman"/>
      <w:lvlText w:val="%9."/>
      <w:lvlJc w:val="right"/>
      <w:pPr>
        <w:ind w:left="6480" w:hanging="180"/>
      </w:pPr>
    </w:lvl>
  </w:abstractNum>
  <w:abstractNum w:abstractNumId="90366956">
    <w:multiLevelType w:val="hybridMultilevel"/>
    <w:lvl w:ilvl="0" w:tplc="658778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366956">
    <w:abstractNumId w:val="90366956"/>
  </w:num>
  <w:num w:numId="90366957">
    <w:abstractNumId w:val="903669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688190509" Type="http://schemas.openxmlformats.org/officeDocument/2006/relationships/numbering" Target="numbering.xml"/><Relationship Id="rId751007029"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