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0986747" w:name="document"/>
    <w:bookmarkEnd w:id="10986747"/>
    <w:p/>
    <w:p>
      <w:pPr>
        <w:widowControl w:val="on"/>
        <w:pBdr/>
        <w:spacing w:before="0" w:after="280" w:line="240" w:lineRule="auto"/>
        <w:ind w:left="0" w:right="0"/>
        <w:jc w:val="left"/>
      </w:pPr>
      <w:r>
        <w:rPr>
          <w:rFonts w:ascii="Arial" w:hAnsi="Arial" w:eastAsia="Arial" w:cs="Arial"/>
          <w:color w:val="363A40"/>
          <w:sz w:val="24"/>
          <w:szCs w:val="24"/>
        </w:rPr>
        <w:t xml:space="preserve">Dokument-ID: 933652 | Karin Zahiragic - Albert
Scherzer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Strafanzeige</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Staatsanwaltschaft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Anzeiger: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 geboren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Rechtsanwältin</w:t>
            </w:r>
            <w:r>
              <w:rPr>
                <w:rFonts w:ascii="Arial" w:hAnsi="Arial" w:eastAsia="Arial" w:cs="Arial"/>
                <w:color w:val="000000"/>
                <w:position w:val="0"/>
                <w:sz w:val="20"/>
                <w:szCs w:val="20"/>
                <w:shd w:val="clear" w:color="auto" w:fill="FFFFFF"/>
              </w:rPr>
              <w:br/>
              <w:t xml:space="preserve">Adresse, ev R-Code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Angezeigter: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 geboren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Strafanzeige</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erstattet gegen den Verdächtigen … [Name],
geboren am …, wohnhaft in … Strafanzeige wegen des Verdachtes der
vorsätzlichen Körperverletzung gem §§ 83 ff StGB und
bringt folgenden Sachverhalt zur Kenntnis:</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wurde am … [Datum] vom Verdächtigen … [Name]
auf offener Straße in … [Adresse] aus heiterem Himmel attackiert,
und ist in weiterer Folge in den linken Zeigefinger gebissen
worden.</w:t>
      </w:r>
    </w:p>
    <w:p>
      <w:pPr>
        <w:widowControl w:val="on"/>
        <w:pBdr/>
        <w:spacing w:before="140" w:after="240" w:line="288" w:lineRule="auto"/>
        <w:ind w:left="0" w:right="0"/>
        <w:jc w:val="left"/>
      </w:pPr>
      <w:r>
        <w:rPr>
          <w:rFonts w:ascii="Arial" w:hAnsi="Arial" w:eastAsia="Arial" w:cs="Arial"/>
          <w:color w:val="000000"/>
          <w:sz w:val="20"/>
          <w:szCs w:val="20"/>
        </w:rPr>
        <w:t xml:space="preserve">Unverzüglich nach dem Vorfall suchte der Einschreiter das
Krankenhaus … auf. Dort wurde er ambulant behandelt und
wundversorgt.</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erlitt dadurch eine Verletzung mit
Schmerzfolgen. Es bestehen überdies Dauerfolgen durch die vom Biss
hervorgerufene Sensibilitätsstörungen im linken Zeigefinger, sowie
das Verbleiben einer Narbe.</w:t>
      </w:r>
    </w:p>
    <w:p>
      <w:pPr>
        <w:widowControl w:val="on"/>
        <w:pBdr/>
        <w:spacing w:before="140" w:after="240" w:line="288" w:lineRule="auto"/>
        <w:ind w:left="0" w:right="0"/>
        <w:jc w:val="left"/>
      </w:pPr>
      <w:r>
        <w:rPr>
          <w:rFonts w:ascii="Arial" w:hAnsi="Arial" w:eastAsia="Arial" w:cs="Arial"/>
          <w:color w:val="000000"/>
          <w:sz w:val="20"/>
          <w:szCs w:val="20"/>
        </w:rPr>
        <w:t xml:space="preserve">Dem Verdächtigten war es bewusst, dass er den Einschreiter eine
Verletzung am linken Zeigefinger zufügen wollte. Er hat vorsätzlich
gehandelt.</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hat ein Privatgutachten eines medizinischen
Sachverständigen eingeholt. Danach erlitt der Einschreiter durch
den Vorfall komprimiert 6 Tage mittelstarke Schmerzen und 14 Tage
leichte Schmerzen. Weiters bestehen an der Hand des Einschreiters
Dauerfolgen, wie Sensibilitätstörungen und eine sichtbare
Narbe.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vom … [Datum], Bestätigung Krankenhaus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Verhalten des Verdächtigen war auch kausal für die
Verletzung des Einschreiters am linken Zeigefinger.</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beantragt daher, gegen den Verdächtigen ein
Strafverfahren wegen § 83 StGB einzuleiten.</w:t>
      </w:r>
    </w:p>
    <w:p>
      <w:pPr>
        <w:widowControl w:val="on"/>
        <w:pBdr/>
        <w:spacing w:before="140" w:after="240" w:line="288" w:lineRule="auto"/>
        <w:ind w:left="0" w:right="0"/>
        <w:jc w:val="left"/>
      </w:pPr>
      <w:r>
        <w:rPr>
          <w:rFonts w:ascii="Arial" w:hAnsi="Arial" w:eastAsia="Arial" w:cs="Arial"/>
          <w:color w:val="000000"/>
          <w:sz w:val="20"/>
          <w:szCs w:val="20"/>
        </w:rPr>
        <w:t xml:space="preserve">…,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022471" w:name="note1"/>
            <w:bookmarkEnd w:id="58022471"/>
            <w:bookmarkStart w:id="3897270878585" w:name="note1"/>
            <w:r>
              <w:rPr>
                <w:rFonts w:ascii="Arial" w:hAnsi="Arial" w:eastAsia="Arial" w:cs="Arial"/>
                <w:b/>
                <w:bCs/>
                <w:color w:val="000000"/>
                <w:position w:val="0"/>
                <w:sz w:val="20"/>
                <w:szCs w:val="20"/>
              </w:rPr>
              <w:t xml:space="preserve">[1]</w:t>
            </w:r>
            <w:bookmarkEnd w:id="389727087858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Sorgfaltspflicht: Eine besondere Sorgfaltspflicht des Anzeigers
in der Richtung, die vorliegenden Verdachtsgründe auf ihre
Stichhaltigkeit zu prüfen und das Für und Wider selbst abzuwägen,
besteht nicht. Dies würde dem öffentlichen Interesse, den Behörden
Kenntnis von strafbaren Handlungen zu verschaffen, widersprechen.
Es genügt daher grundsätzlich das Vorliegen nicht offenkundig
bereits widerlegter Verdachtsgründe für die Annahme, dass eine
Strafanzeige nicht wider besseres Wissen und somit rechtmäßig
erstattet wurde (RIS-Justiz RS0031957). Um Menschen davor zu
schützen, ohne Anlass zum Objekt eines Strafverfahrens zu werden,
ist die Staatsanwaltschaft verpflichtet, einen zur Kenntnis
genommenen Sachverhalt zuerst rechtlich dahin zu beurteilen, ob er
in Richtung eines Geschehens deutet, das – als erwiesen
angenommen – (zumindest) einem Tatbestand des materiellen
Strafrechts subsumierbar, mithin als Verdacht einer Straftat zu
bewerten ist (RIS-Justiz RS0127791).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107133" w:name="note2"/>
            <w:bookmarkEnd w:id="24107133"/>
            <w:bookmarkStart w:id="5387607532284" w:name="note2"/>
            <w:r>
              <w:rPr>
                <w:rFonts w:ascii="Arial" w:hAnsi="Arial" w:eastAsia="Arial" w:cs="Arial"/>
                <w:b/>
                <w:bCs/>
                <w:color w:val="000000"/>
                <w:position w:val="0"/>
                <w:sz w:val="20"/>
                <w:szCs w:val="20"/>
              </w:rPr>
              <w:t xml:space="preserve">[2]</w:t>
            </w:r>
            <w:bookmarkEnd w:id="53876075322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Rechtswidrigkeit: In einer Strafanzeige enthaltene, objektiv
unrichtige Beschuldigungen sind, sofern sie den Rahmen eines
sachdienlichen Vorbringens nicht überschreiten, nur dann
rechtswidrig, wenn sie vom Anzeiger wider besseres Wissen erhoben
wurden. Da jedermann das Recht zusteht, tatsächliche oder
vermeintliche Pflichtwidrigkeit einer Behörde deren vorgesetzten
Behörde anzuzeigen und von letzterer Abhilfe zu verlangen, haben
auch für Aufsichtsbeschwerden die gleichen Grundsätze zu gelten wie
für Behauptungen anlässlich der Erstattung von Strafanzeigen
(RIS-Justiz RS0097183).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408279" w:name="note3"/>
            <w:bookmarkEnd w:id="58408279"/>
            <w:bookmarkStart w:id="9528691409167" w:name="note3"/>
            <w:r>
              <w:rPr>
                <w:rFonts w:ascii="Arial" w:hAnsi="Arial" w:eastAsia="Arial" w:cs="Arial"/>
                <w:b/>
                <w:bCs/>
                <w:color w:val="000000"/>
                <w:position w:val="0"/>
                <w:sz w:val="20"/>
                <w:szCs w:val="20"/>
              </w:rPr>
              <w:t xml:space="preserve">[3]</w:t>
            </w:r>
            <w:bookmarkEnd w:id="95286914091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Sittenwidrigkeit: Wer sein Anzeigerecht wegen eines erwiesenen
Delikts bewusst missbraucht, um dem Delinquenten eine Handlung
abzunötigen, verstößt gegen die guten Sitten (RIS-Justiz
RS0093149).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468836" w:name="note4"/>
            <w:bookmarkEnd w:id="36468836"/>
            <w:bookmarkStart w:id="2333348143815" w:name="note4"/>
            <w:r>
              <w:rPr>
                <w:rFonts w:ascii="Arial" w:hAnsi="Arial" w:eastAsia="Arial" w:cs="Arial"/>
                <w:b/>
                <w:bCs/>
                <w:color w:val="000000"/>
                <w:position w:val="0"/>
                <w:sz w:val="20"/>
                <w:szCs w:val="20"/>
              </w:rPr>
              <w:t xml:space="preserve">[4]</w:t>
            </w:r>
            <w:bookmarkEnd w:id="23333481438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Zurücklegung: A limine zurückgelegte Anzeigen oder sonst nicht
zum Anlass für Ermittlungen genommene Sachverhalte sind kein Fall
des § 190 StPO, lösen folglich keine Informations und
Verständigungspflichten aus und sind kein Gegenstand einer
Fortführung nach §§ 195 f StPO. Irrig erteilte Belehrungen
über die Zulässigkeit eines Antrags auf Fortführung eines nicht
geführten Ermittlungsverfahrens ändern daran nichts (OGH
27.06.2013, 17 Os 13/13k).</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66107">
    <w:multiLevelType w:val="hybridMultilevel"/>
    <w:lvl w:ilvl="0" w:tplc="28406210">
      <w:start w:val="1"/>
      <w:numFmt w:val="decimal"/>
      <w:lvlText w:val="%1."/>
      <w:lvlJc w:val="left"/>
      <w:pPr>
        <w:ind w:left="720" w:hanging="360"/>
      </w:pPr>
    </w:lvl>
    <w:lvl w:ilvl="1" w:tplc="28406210" w:tentative="1">
      <w:start w:val="1"/>
      <w:numFmt w:val="lowerLetter"/>
      <w:lvlText w:val="%2."/>
      <w:lvlJc w:val="left"/>
      <w:pPr>
        <w:ind w:left="1440" w:hanging="360"/>
      </w:pPr>
    </w:lvl>
    <w:lvl w:ilvl="2" w:tplc="28406210" w:tentative="1">
      <w:start w:val="1"/>
      <w:numFmt w:val="lowerRoman"/>
      <w:lvlText w:val="%3."/>
      <w:lvlJc w:val="right"/>
      <w:pPr>
        <w:ind w:left="2160" w:hanging="180"/>
      </w:pPr>
    </w:lvl>
    <w:lvl w:ilvl="3" w:tplc="28406210" w:tentative="1">
      <w:start w:val="1"/>
      <w:numFmt w:val="decimal"/>
      <w:lvlText w:val="%4."/>
      <w:lvlJc w:val="left"/>
      <w:pPr>
        <w:ind w:left="2880" w:hanging="360"/>
      </w:pPr>
    </w:lvl>
    <w:lvl w:ilvl="4" w:tplc="28406210" w:tentative="1">
      <w:start w:val="1"/>
      <w:numFmt w:val="lowerLetter"/>
      <w:lvlText w:val="%5."/>
      <w:lvlJc w:val="left"/>
      <w:pPr>
        <w:ind w:left="3600" w:hanging="360"/>
      </w:pPr>
    </w:lvl>
    <w:lvl w:ilvl="5" w:tplc="28406210" w:tentative="1">
      <w:start w:val="1"/>
      <w:numFmt w:val="lowerRoman"/>
      <w:lvlText w:val="%6."/>
      <w:lvlJc w:val="right"/>
      <w:pPr>
        <w:ind w:left="4320" w:hanging="180"/>
      </w:pPr>
    </w:lvl>
    <w:lvl w:ilvl="6" w:tplc="28406210" w:tentative="1">
      <w:start w:val="1"/>
      <w:numFmt w:val="decimal"/>
      <w:lvlText w:val="%7."/>
      <w:lvlJc w:val="left"/>
      <w:pPr>
        <w:ind w:left="5040" w:hanging="360"/>
      </w:pPr>
    </w:lvl>
    <w:lvl w:ilvl="7" w:tplc="28406210" w:tentative="1">
      <w:start w:val="1"/>
      <w:numFmt w:val="lowerLetter"/>
      <w:lvlText w:val="%8."/>
      <w:lvlJc w:val="left"/>
      <w:pPr>
        <w:ind w:left="5760" w:hanging="360"/>
      </w:pPr>
    </w:lvl>
    <w:lvl w:ilvl="8" w:tplc="28406210" w:tentative="1">
      <w:start w:val="1"/>
      <w:numFmt w:val="lowerRoman"/>
      <w:lvlText w:val="%9."/>
      <w:lvlJc w:val="right"/>
      <w:pPr>
        <w:ind w:left="6480" w:hanging="180"/>
      </w:pPr>
    </w:lvl>
  </w:abstractNum>
  <w:abstractNum w:abstractNumId="29466106">
    <w:multiLevelType w:val="hybridMultilevel"/>
    <w:lvl w:ilvl="0" w:tplc="48933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66106">
    <w:abstractNumId w:val="29466106"/>
  </w:num>
  <w:num w:numId="29466107">
    <w:abstractNumId w:val="29466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9674693" Type="http://schemas.openxmlformats.org/officeDocument/2006/relationships/numbering" Target="numbering.xml"/><Relationship Id="rId3607948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