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7243661" w:name="document"/>
    <w:bookmarkEnd w:id="57243661"/>
    <w:p/>
    <w:p>
      <w:pPr>
        <w:widowControl w:val="on"/>
        <w:pBdr/>
        <w:spacing w:before="0" w:after="280" w:line="240" w:lineRule="auto"/>
        <w:ind w:left="0" w:right="0"/>
        <w:jc w:val="left"/>
      </w:pPr>
      <w:r>
        <w:rPr>
          <w:rFonts w:ascii="Arial" w:hAnsi="Arial" w:eastAsia="Arial" w:cs="Arial"/>
          <w:color w:val="363A40"/>
          <w:sz w:val="24"/>
          <w:szCs w:val="24"/>
        </w:rPr>
        <w:t xml:space="preserve">Dokument-ID: 1251158 | Barbara Pogacar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Sicherungszessionsvertrag</w:t>
      </w:r>
    </w:p>
    <w:p>
      <w:pPr>
        <w:widowControl w:val="on"/>
        <w:pBdr/>
        <w:spacing w:before="140" w:after="240" w:line="288" w:lineRule="auto"/>
        <w:ind w:left="0" w:right="0"/>
        <w:jc w:val="left"/>
      </w:pPr>
      <w:r>
        <w:rPr>
          <w:rFonts w:ascii="Arial" w:hAnsi="Arial" w:eastAsia="Arial" w:cs="Arial"/>
          <w:color w:val="000000"/>
          <w:sz w:val="20"/>
          <w:szCs w:val="20"/>
        </w:rPr>
        <w:t xml:space="preserve">geschlossen</w:t>
      </w:r>
    </w:p>
    <w:p>
      <w:pPr>
        <w:widowControl w:val="on"/>
        <w:pBdr/>
        <w:spacing w:before="140" w:after="240" w:line="288" w:lineRule="auto"/>
        <w:ind w:left="0" w:right="0"/>
        <w:jc w:val="left"/>
      </w:pPr>
      <w:r>
        <w:rPr>
          <w:rFonts w:ascii="Arial" w:hAnsi="Arial" w:eastAsia="Arial" w:cs="Arial"/>
          <w:color w:val="000000"/>
          <w:sz w:val="20"/>
          <w:szCs w:val="20"/>
        </w:rPr>
        <w:t xml:space="preserve">zwischen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t>
            </w:r>
          </w:p>
        </w:tc>
      </w:tr>
    </w:tbl>
    <w:p>
      <w:pPr>
        <w:widowControl w:val="on"/>
        <w:pBdr/>
        <w:spacing w:before="140" w:after="240" w:line="288" w:lineRule="auto"/>
        <w:ind w:left="0" w:right="0"/>
        <w:jc w:val="left"/>
      </w:pPr>
      <w:r>
        <w:rPr>
          <w:rFonts w:ascii="Arial" w:hAnsi="Arial" w:eastAsia="Arial" w:cs="Arial"/>
          <w:color w:val="000000"/>
          <w:sz w:val="20"/>
          <w:szCs w:val="20"/>
        </w:rPr>
        <w:t xml:space="preserve">(in der Folge kurz „Zedent“)</w:t>
      </w:r>
    </w:p>
    <w:p>
      <w:pPr>
        <w:widowControl w:val="on"/>
        <w:pBdr/>
        <w:spacing w:before="140" w:after="240" w:line="288" w:lineRule="auto"/>
        <w:ind w:left="0" w:right="0"/>
        <w:jc w:val="left"/>
      </w:pPr>
      <w:r>
        <w:rPr>
          <w:rFonts w:ascii="Arial" w:hAnsi="Arial" w:eastAsia="Arial" w:cs="Arial"/>
          <w:color w:val="000000"/>
          <w:sz w:val="20"/>
          <w:szCs w:val="20"/>
        </w:rPr>
        <w:t xml:space="preserve">einerseits</w:t>
      </w:r>
    </w:p>
    <w:p>
      <w:pPr>
        <w:widowControl w:val="on"/>
        <w:pBdr/>
        <w:spacing w:before="140" w:after="240" w:line="288" w:lineRule="auto"/>
        <w:ind w:left="0" w:right="0"/>
        <w:jc w:val="left"/>
      </w:pPr>
      <w:r>
        <w:rPr>
          <w:rFonts w:ascii="Arial" w:hAnsi="Arial" w:eastAsia="Arial" w:cs="Arial"/>
          <w:color w:val="000000"/>
          <w:sz w:val="20"/>
          <w:szCs w:val="20"/>
        </w:rPr>
        <w:t xml:space="preserve">und</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t>
            </w:r>
          </w:p>
        </w:tc>
      </w:tr>
    </w:tbl>
    <w:p>
      <w:pPr>
        <w:widowControl w:val="on"/>
        <w:pBdr/>
        <w:spacing w:before="140" w:after="240" w:line="288" w:lineRule="auto"/>
        <w:ind w:left="0" w:right="0"/>
        <w:jc w:val="left"/>
      </w:pPr>
      <w:r>
        <w:rPr>
          <w:rFonts w:ascii="Arial" w:hAnsi="Arial" w:eastAsia="Arial" w:cs="Arial"/>
          <w:color w:val="000000"/>
          <w:sz w:val="20"/>
          <w:szCs w:val="20"/>
        </w:rPr>
        <w:t xml:space="preserve">(in der Folge kurz „Zessionar“)</w:t>
      </w:r>
    </w:p>
    <w:p>
      <w:pPr>
        <w:widowControl w:val="on"/>
        <w:pBdr/>
        <w:spacing w:before="140" w:after="240" w:line="288" w:lineRule="auto"/>
        <w:ind w:left="0" w:right="0"/>
        <w:jc w:val="left"/>
      </w:pPr>
      <w:r>
        <w:rPr>
          <w:rFonts w:ascii="Arial" w:hAnsi="Arial" w:eastAsia="Arial" w:cs="Arial"/>
          <w:color w:val="000000"/>
          <w:sz w:val="20"/>
          <w:szCs w:val="20"/>
        </w:rPr>
        <w:t xml:space="preserve">andererseits</w:t>
      </w:r>
    </w:p>
    <w:p>
      <w:pPr>
        <w:widowControl w:val="on"/>
        <w:pBdr/>
        <w:spacing w:before="140" w:after="240" w:line="288" w:lineRule="auto"/>
        <w:ind w:left="0" w:right="0"/>
        <w:jc w:val="left"/>
      </w:pPr>
      <w:r>
        <w:rPr>
          <w:rFonts w:ascii="Arial" w:hAnsi="Arial" w:eastAsia="Arial" w:cs="Arial"/>
          <w:color w:val="000000"/>
          <w:sz w:val="20"/>
          <w:szCs w:val="20"/>
        </w:rPr>
        <w:t xml:space="preserve">wie folgt:</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1. Sicherungszweck</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Zessionar hat dem Zedenten mit Darlehensvertrag vom heutigen
Tag ein Darlehen in Höhe von EUR … gewährt, das in …
gleichhohen Raten à EUR …jeweils am … zuzüglich … %
Zinsen pa zur Rückzahlung fällig ist (in der Folge kurz das
„Darlehen“). Im Fall des Zahlungsverzugs trotz Mahnung unter
Nachfristsetzung von … Tagen ist der Zessionar berechtigt, das
Darlehen zur Gänze fällig zu stellen.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Zur Absicherung der Rückzahlung des in Punkt 1.1 definierten
Darlehens wird der gegenständlich Sicherungszessionsvertrag
geschlossen.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 Sicherungszession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Zedent tritt hier sämtliche Forderungen aus seinem
Geschäftsbetrieb, die derzeit bestehen und auch künftig entstehen
werden, an den Zessionar zur Besicherung der Rückzahlung des
Darlehens ab, und der Zessionar nimmt diese sicherungsweise
Abtretung hiermit an.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Zessionar ist nur berechtigt, die hiermit sicherungsweise
abgetretenen Forderungen geltend zu machen, wenn der Zedent mit der
Rückzahlung des Darlehens in Verzug gerät und trotz Mahnung unter
Nachfristsetzung von … Tagen nicht bezahlt. Der Zessionar ist
diesfalls berechtigt, Forderungen im Ausmaß der
Rückzahlungsverpflichtung des Zedenten aus dem Darlehen geltend zu
machen und ist verpflichtet, die vereinnahmten Beträge zur Tilgung
der Rückzahlungsverpflichtung des Zedenten zu verwenden. Einen nach
vollständiger Begleichung der Rückzahlungsverpflichtung des
Zedenten verbleibenden Betrag hat der Zessionar dem Zedenten
unverzüglich auf ein von diesem namhaft gemachtes Konto zu
überweisen.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3. Rechte und Pflichten des
Zedenten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Zedent ist verpflichtet, die hiermit sicherungsweise
vereinbarte Zession sämtlicher Forderungen aus dem Geschäftsbetrieb
in seinen Geschäftsbüchern sowohl in der OP-Liste als auch bei dem
jeweiligen Kunden durch Setzung eines Zessionsvermerks „zediert an
… gemäß Zessionsvereinbarung vom …“ ersichtlich zu machen.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Während der Dauer der fristgerechten Erfüllung der
Rückzahlungsverpflichtung das Darlehen betreffend ist der Zedent
berechtigt, die sicherungsweise abgetretenen Forderungen aus dem
Geschäftsbetrieb bei Eintritt der Fälligkeit geltend zu machen.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Wenn der Zedent mit der Rückzahlung des Darlehens in Verzug
gerät, ist der Zedent verpflichtet, dem Zessionar über dessen
schriftliche Aufforderung eine aktuelle OP-Liste zu übermitteln und
dem Zessionar alle Unterlagen zur Verfügung zu stellen, damit
dieser die sicherungsweise abgetretenen Forderungen zur Begleichung
der Rückzahlungsverpflichtung des Zedenten geltend machen kann.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4. Pflichten des Zessionars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 einer Geltendmachung der sicherungsweise abgetretenen
Forderungen ist der Zessionar verpflichtet, den Zedenten im Fall
des Zahlungsverzugs mit der Rückzahlung des Darlehens unter Setzung
einer Nachfrist von … Tagen schriftlich zu mahnen.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Im Fall der gerichtlichen Betreibung einer oder mehrerer der
sicherungsweise abgetretenen Forderung(en) ist der Zessionar
verpflichtet, dem Zedenten den Streit zu verkündigen.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5. Haftung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Sollte entgegen der Erwartung der Vertragsparteien eine Tilgung
der Rückzahlungsverpflichtung des Zedenten aus den sicherungsweise
abgetretenen Forderungen nicht oder nicht zur Gänze möglich sein,
so haftet der Zedent gegenüber dem Zessionar für den Ausfall.</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Weiters haftet der Zedent dem Zessionar für sämtliche mit der
Betreibung der sicherungsweise abgetretenen Forderungen entstanden
Kosten.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6. Dauer</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gegenständliche Sicherungszessionsvertrag wird auf
unbestimmte Dauer geschlossen. Er endet automatisch, ohne dass es
einer weiteren Erklärung bedarf, wenn der Zedent seiner
Rückzahlungsverpflichtung aus dem Darlehensvertrag (Anlage ./1) zur
Gänze nachgekommen ist. Für die Dauer der Rückzahlungsverpflichtung
aus dem Darlehensvertrag (Anlage ./1) ist der Zedent nicht
berechtigt, den gegenständlichen Sicherungszessionsvertrag
vorzeitig zu beenden.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Mit Beendigung des gegenständlichen Sicherungszessionsvertrag
ist der Sicherungszessionar verpflichtet, sämtliche sicherungsweise
zedierten Forderungen des Zedent, die nicht zur Deckung der
Rückzahlungsverpflichtung verwertet oder eingezogen wurden, wieder
an den Zedenten rückzuübertragen. Der Zedent ist diesfalls
berechtigt, den Sicherungszessionsvermerk aus seinen
Geschäftsbüchern wieder zu entfernen.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7. Schlussbestimmungen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 den gegenständlichen Sicherungszessionsvertrag ist
ausschließlich österreichisches materielles Recht anwendbar.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Dieser Vertrag wird in zwei Ausfertigungen erstellt, von denen
jede Vertragspartei eine erhält.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allfällige Streitigkeiten aus oder im Zusammenhang mit
diesem Vertrag wird die ausschließliche Zuständigkeit des für
…sachlich zuständigen Gerichts vereinbart.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 diesem Vertrag bestehen keine mündlichen oder schriftlichen
Nebenabreden. Sämtliche Änderungen dieses Vertrags bedürfen zu
ihrer Rechtswirksamkeit der Schriftform, ebenso ein Abgehen vom
Erfordernis der Schriftlichkeit.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Sollte eine Bestimmung dieses Vertrages unwirksam oder
undurchsetzbar sein oder werden, so wird dadurch die Wirksamkeit
der übrigen Bestimmungen nicht berührt. Die Vertragsparteien
verpflichten sich, anstelle der unwirksamen oder undurchsetzbaren
Bestimmung eine wirksame und durchsetzbare Bestimmung zu
vereinbaren, die dem wirtschaftlichen Zweck der zu ersetzenden
Bestimmungen bestmöglich entspricht.</w:t>
            </w:r>
          </w:p>
        </w:tc>
      </w:tr>
    </w:tbl>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Zedent</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Zessionar</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762641">
    <w:multiLevelType w:val="hybridMultilevel"/>
    <w:lvl w:ilvl="0" w:tplc="72975988">
      <w:start w:val="1"/>
      <w:numFmt w:val="decimal"/>
      <w:lvlText w:val="%1."/>
      <w:lvlJc w:val="left"/>
      <w:pPr>
        <w:ind w:left="720" w:hanging="360"/>
      </w:pPr>
    </w:lvl>
    <w:lvl w:ilvl="1" w:tplc="72975988" w:tentative="1">
      <w:start w:val="1"/>
      <w:numFmt w:val="lowerLetter"/>
      <w:lvlText w:val="%2."/>
      <w:lvlJc w:val="left"/>
      <w:pPr>
        <w:ind w:left="1440" w:hanging="360"/>
      </w:pPr>
    </w:lvl>
    <w:lvl w:ilvl="2" w:tplc="72975988" w:tentative="1">
      <w:start w:val="1"/>
      <w:numFmt w:val="lowerRoman"/>
      <w:lvlText w:val="%3."/>
      <w:lvlJc w:val="right"/>
      <w:pPr>
        <w:ind w:left="2160" w:hanging="180"/>
      </w:pPr>
    </w:lvl>
    <w:lvl w:ilvl="3" w:tplc="72975988" w:tentative="1">
      <w:start w:val="1"/>
      <w:numFmt w:val="decimal"/>
      <w:lvlText w:val="%4."/>
      <w:lvlJc w:val="left"/>
      <w:pPr>
        <w:ind w:left="2880" w:hanging="360"/>
      </w:pPr>
    </w:lvl>
    <w:lvl w:ilvl="4" w:tplc="72975988" w:tentative="1">
      <w:start w:val="1"/>
      <w:numFmt w:val="lowerLetter"/>
      <w:lvlText w:val="%5."/>
      <w:lvlJc w:val="left"/>
      <w:pPr>
        <w:ind w:left="3600" w:hanging="360"/>
      </w:pPr>
    </w:lvl>
    <w:lvl w:ilvl="5" w:tplc="72975988" w:tentative="1">
      <w:start w:val="1"/>
      <w:numFmt w:val="lowerRoman"/>
      <w:lvlText w:val="%6."/>
      <w:lvlJc w:val="right"/>
      <w:pPr>
        <w:ind w:left="4320" w:hanging="180"/>
      </w:pPr>
    </w:lvl>
    <w:lvl w:ilvl="6" w:tplc="72975988" w:tentative="1">
      <w:start w:val="1"/>
      <w:numFmt w:val="decimal"/>
      <w:lvlText w:val="%7."/>
      <w:lvlJc w:val="left"/>
      <w:pPr>
        <w:ind w:left="5040" w:hanging="360"/>
      </w:pPr>
    </w:lvl>
    <w:lvl w:ilvl="7" w:tplc="72975988" w:tentative="1">
      <w:start w:val="1"/>
      <w:numFmt w:val="lowerLetter"/>
      <w:lvlText w:val="%8."/>
      <w:lvlJc w:val="left"/>
      <w:pPr>
        <w:ind w:left="5760" w:hanging="360"/>
      </w:pPr>
    </w:lvl>
    <w:lvl w:ilvl="8" w:tplc="72975988" w:tentative="1">
      <w:start w:val="1"/>
      <w:numFmt w:val="lowerRoman"/>
      <w:lvlText w:val="%9."/>
      <w:lvlJc w:val="right"/>
      <w:pPr>
        <w:ind w:left="6480" w:hanging="180"/>
      </w:pPr>
    </w:lvl>
  </w:abstractNum>
  <w:abstractNum w:abstractNumId="15762640">
    <w:multiLevelType w:val="hybridMultilevel"/>
    <w:lvl w:ilvl="0" w:tplc="861234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762640">
    <w:abstractNumId w:val="15762640"/>
  </w:num>
  <w:num w:numId="15762641">
    <w:abstractNumId w:val="157626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59760075" Type="http://schemas.openxmlformats.org/officeDocument/2006/relationships/numbering" Target="numbering.xml"/><Relationship Id="rId90253079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