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9957612" w:name="document"/>
    <w:bookmarkEnd w:id="79957612"/>
    <w:p/>
    <w:p>
      <w:pPr>
        <w:widowControl w:val="on"/>
        <w:pBdr/>
        <w:spacing w:before="0" w:after="280" w:line="240" w:lineRule="auto"/>
        <w:ind w:left="0" w:right="0"/>
        <w:jc w:val="left"/>
      </w:pPr>
      <w:r>
        <w:rPr>
          <w:rFonts w:ascii="Arial" w:hAnsi="Arial" w:eastAsia="Arial" w:cs="Arial"/>
          <w:color w:val="363A40"/>
          <w:sz w:val="24"/>
          <w:szCs w:val="24"/>
        </w:rPr>
        <w:t xml:space="preserve">Dokument-ID: 1049319 | Christian Stuppnig -
Michael Gstöttner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Vertraulichkeitsvereinbarung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Vertraulichkeitsvereinbarung Projekt „X“</w:t>
      </w:r>
    </w:p>
    <w:p>
      <w:pPr>
        <w:widowControl w:val="on"/>
        <w:pBdr/>
        <w:spacing w:before="140" w:after="240" w:line="288" w:lineRule="auto"/>
        <w:ind w:left="0" w:right="0"/>
        <w:jc w:val="left"/>
      </w:pPr>
      <w:r>
        <w:rPr>
          <w:rFonts w:ascii="Arial" w:hAnsi="Arial" w:eastAsia="Arial" w:cs="Arial"/>
          <w:color w:val="000000"/>
          <w:sz w:val="20"/>
          <w:szCs w:val="20"/>
        </w:rPr>
        <w:t xml:space="preserve">zwischen</w:t>
      </w:r>
    </w:p>
    <w:p>
      <w:pPr>
        <w:widowControl w:val="on"/>
        <w:pBdr/>
        <w:spacing w:before="140" w:after="240" w:line="288" w:lineRule="auto"/>
        <w:ind w:left="0" w:right="0"/>
        <w:jc w:val="left"/>
      </w:pPr>
      <w:r>
        <w:rPr>
          <w:rFonts w:ascii="Arial" w:hAnsi="Arial" w:eastAsia="Arial" w:cs="Arial"/>
          <w:b/>
          <w:bCs/>
          <w:color w:val="000000"/>
          <w:sz w:val="20"/>
          <w:szCs w:val="20"/>
        </w:rPr>
        <w:t xml:space="preserve">X Holding AG</w:t>
      </w:r>
      <w:r>
        <w:rPr>
          <w:rFonts w:ascii="Arial" w:hAnsi="Arial" w:eastAsia="Arial" w:cs="Arial"/>
          <w:color w:val="000000"/>
          <w:sz w:val="20"/>
          <w:szCs w:val="20"/>
        </w:rPr>
        <w:br/>
        <w:t xml:space="preserve">FN 12345a</w:t>
      </w:r>
      <w:r>
        <w:rPr>
          <w:rFonts w:ascii="Arial" w:hAnsi="Arial" w:eastAsia="Arial" w:cs="Arial"/>
          <w:color w:val="000000"/>
          <w:sz w:val="20"/>
          <w:szCs w:val="20"/>
        </w:rPr>
        <w:br/>
        <w:t xml:space="preserve">Adresse</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b/>
          <w:bCs/>
          <w:color w:val="000000"/>
          <w:sz w:val="20"/>
          <w:szCs w:val="20"/>
        </w:rPr>
        <w:t xml:space="preserve">X Gmbh</w:t>
      </w:r>
      <w:r>
        <w:rPr>
          <w:rFonts w:ascii="Arial" w:hAnsi="Arial" w:eastAsia="Arial" w:cs="Arial"/>
          <w:color w:val="000000"/>
          <w:sz w:val="20"/>
          <w:szCs w:val="20"/>
        </w:rPr>
        <w:br/>
        <w:t xml:space="preserve">FN 12345b</w:t>
      </w:r>
      <w:r>
        <w:rPr>
          <w:rFonts w:ascii="Arial" w:hAnsi="Arial" w:eastAsia="Arial" w:cs="Arial"/>
          <w:color w:val="000000"/>
          <w:sz w:val="20"/>
          <w:szCs w:val="20"/>
        </w:rPr>
        <w:br/>
        <w:t xml:space="preserve">Adresse</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b/>
          <w:bCs/>
          <w:color w:val="000000"/>
          <w:sz w:val="20"/>
          <w:szCs w:val="20"/>
        </w:rPr>
        <w:t xml:space="preserve">Y Holding Gmbh</w:t>
      </w:r>
      <w:r>
        <w:rPr>
          <w:rFonts w:ascii="Arial" w:hAnsi="Arial" w:eastAsia="Arial" w:cs="Arial"/>
          <w:color w:val="000000"/>
          <w:sz w:val="20"/>
          <w:szCs w:val="20"/>
        </w:rPr>
        <w:br/>
        <w:t xml:space="preserve">FN 12345c</w:t>
      </w:r>
      <w:r>
        <w:rPr>
          <w:rFonts w:ascii="Arial" w:hAnsi="Arial" w:eastAsia="Arial" w:cs="Arial"/>
          <w:color w:val="000000"/>
          <w:sz w:val="20"/>
          <w:szCs w:val="20"/>
        </w:rPr>
        <w:br/>
        <w:t xml:space="preserve">Adresse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Präambel</w:t>
      </w:r>
    </w:p>
    <w:p>
      <w:pPr>
        <w:widowControl w:val="on"/>
        <w:pBdr/>
        <w:spacing w:before="140" w:after="240" w:line="288" w:lineRule="auto"/>
        <w:ind w:left="0" w:right="0"/>
        <w:jc w:val="left"/>
      </w:pPr>
      <w:r>
        <w:rPr>
          <w:rFonts w:ascii="Arial" w:hAnsi="Arial" w:eastAsia="Arial" w:cs="Arial"/>
          <w:color w:val="000000"/>
          <w:sz w:val="20"/>
          <w:szCs w:val="20"/>
        </w:rPr>
        <w:t xml:space="preserve">X Holding AG ist Alleingesellschafterin der X Gmbh. Y Holding
Gmbh beabsichtigt ihren Geschäftsanteil der X Holding AG an der X
Gmbh zu erwerben und zu diesem Zweck eine Due Diligence zur Prüfung
und Bewertung der X Gmbh durchzuführen.</w:t>
      </w:r>
    </w:p>
    <w:p>
      <w:pPr>
        <w:widowControl w:val="on"/>
        <w:pBdr/>
        <w:spacing w:before="140" w:after="240" w:line="288" w:lineRule="auto"/>
        <w:ind w:left="0" w:right="0"/>
        <w:jc w:val="left"/>
      </w:pPr>
      <w:r>
        <w:rPr>
          <w:rFonts w:ascii="Arial" w:hAnsi="Arial" w:eastAsia="Arial" w:cs="Arial"/>
          <w:color w:val="000000"/>
          <w:sz w:val="20"/>
          <w:szCs w:val="20"/>
        </w:rPr>
        <w:t xml:space="preserve">X Holding AG und die X Gmbh sind bereit, die für die
Durchführung einer Due Diligence notwendigen Unterlagen und
Informationen offen zu legen und Y Holding GmbH zur Verfügung zu
stellen. Die Vertraulichkeit (Geheimhaltung) dieser Unterlagen und
Informationen gegenüber Dritten ist für X Holding AG und die X GmbH
von größter Bedeutung, insbesondere, dass die erhaltenen Unterlagen
und Informationen in keiner Form weitergegeben oder für eigene
Zwecke der Y Holding Gmbh verwertet werden, sofern die
beabsichtigte Transaktion nicht zustande kommt.</w:t>
      </w:r>
    </w:p>
    <w:p>
      <w:pPr>
        <w:widowControl w:val="on"/>
        <w:pBdr/>
        <w:spacing w:before="140" w:after="240" w:line="288" w:lineRule="auto"/>
        <w:ind w:left="0" w:right="0"/>
        <w:jc w:val="left"/>
      </w:pPr>
      <w:r>
        <w:rPr>
          <w:rFonts w:ascii="Arial" w:hAnsi="Arial" w:eastAsia="Arial" w:cs="Arial"/>
          <w:color w:val="000000"/>
          <w:sz w:val="20"/>
          <w:szCs w:val="20"/>
        </w:rPr>
        <w:t xml:space="preserve">Zur Gewährleistung der Geheimhaltung der geplanten Transaktion
und der im Zuge der Due Diligence offen gelegten Daten und der
bezughabenden Unterlagen und Informationen schließen die X Holding
AG, X Gmbh und Y Holding Gmbh folgende
Geheimhaltungsvereinbarung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Vertrauliche Informationen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Als vertrauliche Informationen (im Folgenden „Vertrauliche
Informationen“) im Sinne dieser Vertraulichkeitsvereinbarung gelten
alle Informationen über die X Holding AG, X Gmbh, ihre
Geschäftsführer, ihre Mitarbeiter und ihre Geschäftstätigkeit und
Geschäftsverbindungen (Kunden- und Lieferantenverbindungen).
Vertrauliche Informationen umfassen insbesondere</w:t>
            </w:r>
          </w:p>
          <w:p>
            <w:pPr>
              <w:numPr>
                <w:ilvl w:val="0"/>
                <w:numId w:val="92946674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diese Vereinbarung,</w:t>
            </w:r>
          </w:p>
          <w:p>
            <w:pPr>
              <w:numPr>
                <w:ilvl w:val="0"/>
                <w:numId w:val="92946674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Absicht von Y Holding Gmbh zum Anteilserwerb,</w:t>
            </w:r>
          </w:p>
          <w:p>
            <w:pPr>
              <w:numPr>
                <w:ilvl w:val="0"/>
                <w:numId w:val="92946674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den Inhalt aller Gespräche und Verhandlungen der Parteien in
dieser Angelegenheit,</w:t>
            </w:r>
          </w:p>
          <w:p>
            <w:pPr>
              <w:numPr>
                <w:ilvl w:val="0"/>
                <w:numId w:val="92946674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alle Informationen – in welcher Form auch immer – über X
Holding AG und die X Gmbh, sowie</w:t>
            </w:r>
          </w:p>
          <w:p>
            <w:pPr>
              <w:numPr>
                <w:ilvl w:val="0"/>
                <w:numId w:val="92946674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alle Unterlagen, Auskünfte und Informationen, aufgrund und im
Zusammenhang mit der Evaluierung und Vorbereitung des
Anteilserwerbs oder die durch eine allfällige Datenraumeinsicht
oder sonst im Rahmen der Due Diligence offen gelegt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Ausgenommen von der Geheimhaltungspflicht sind lediglich
Informationen, die allgemein zugänglich sind, rechtmäßig
veröffentlicht wurden, oder sonst wie ohne Verletzung dieser
Vertraulichkeitsvereinbarung der Öffentlichkeit bekannt werden oder
von der X Holding AG und der X GmbH vorab schriftlich freigegeben
wurden.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Geheimhaltungsverpflichtung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Y Holding Gmbh verpflichtet sich, alle vertraulichen
Informationen geheim zu halten, streng vertraulich zu behandeln und
dafür Sorge zu tragen, dass Dritte keine Kenntnis von diesen
vertraulichen Informationen erlangen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Y Holding Gmbh verpflichtet sich weiters, die vertraulichen
Informationen ohne ausdrückliche vorherige Zustimmung von X Holding
AG und der X Gmbh nicht an Dritte weiterzugeben oder für andere
Zwecke als die Bewertung der Gesellschaften und der Analyse der
Beteiligungsmöglichkeiten zu verwenden. Die Verpflichtung zur
Wahrung der Vertraulichkeit der erlangten vertraulichen
Informationen schließt insbesondere die Pflicht ein, diese nicht
für wettbewerbsrechtliche Zwecke zu verwenden.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Y Holding Gmbh verpflichtet sich weiters, vertrauliche
Informationen ausschließlich nur jenen Mitarbeitern, externen
Personen (wie Rechtsanwälten, Steuerberatern, Wirtschaftsprüfern
sowie sonstigen Beratern) und Organmitgliedern offen zu legen, die
für die Zwecke der Anbahnung und Abwicklung der beabsichtigten
Transaktionen Zugang erhalten müssen. Y Holding Gmbh verpflichtet
sich, die vorgenannten Personen auf die Vertraulichkeit dieser
Informationen hinzuweisen und die Verpflichtungen aus dieser
Vertraulichkeitsvereinbarung auf diese Personen zu überbinden.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Y Holding Gmbh verpflichtet sich, im Fall einer zwingenden
Offenlegung der erhaltenen vertraulichen Informationen, dies
unverzüglich und – sofern möglich – vor der Offenlegung X Holding
AG und der X Gmbh mitzuteilen, sodass die entsprechenden
Vorkehrungen zur Wahrung der größtmöglichen Vertraulichkeit dieser
Informationen getroffen werden können.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Datenträger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Sämtliche Datenträger, die vertrauliche Informationen enthalten,
insbesondere schriftliche Unterlagen und elektronische Dokumente,
verbleiben im Eigentum der herausgebenden Vertragspartei.</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Anfertigen von Kopien von Datensätzen, die vertrauliche
Informationen enthalten, ist untersagt.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Y Holding Gmbh hat alle Datenträger sowie sämtliche selbst
angefertigte Aufzeichnungen über die vertraulichen Informationen,
insbesondere Protokolle oder Aktenvermerke, binnen sieben Tagen an
die herausgebende Partei zurückzugeben oder zu vernichten, wobei
die erfolgte Vernichtung schriftlich der herausgebenden Partei zu
bestätigen ist, falls</w:t>
            </w:r>
          </w:p>
          <w:p>
            <w:pPr>
              <w:numPr>
                <w:ilvl w:val="0"/>
                <w:numId w:val="94246687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geplante Transaktion nicht mehr weiter verfolgt wird,</w:t>
            </w:r>
          </w:p>
          <w:p>
            <w:pPr>
              <w:numPr>
                <w:ilvl w:val="0"/>
                <w:numId w:val="94246687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ein allfälliges Angebot auf den Erwerb des Geschäftsanteils an
der X GmbH endgültig nicht abgegeben oder abgelehnt wird, oder</w:t>
            </w:r>
          </w:p>
          <w:p>
            <w:pPr>
              <w:numPr>
                <w:ilvl w:val="0"/>
                <w:numId w:val="94246687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herausgebende Vertragspartei die Rückgabe oder Vernichtung
verlangt.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Y Holding Gmbh nimmt zur Kenntnis, dass an den Datenträgern kein
Zurückbehaltungsrecht besteht und alle Datenträger ohne
Kostenersatz zu retournieren oder zu vernichten sind.</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Kontaktaufnahme</w:t>
      </w:r>
    </w:p>
    <w:p>
      <w:pPr>
        <w:widowControl w:val="on"/>
        <w:pBdr/>
        <w:spacing w:before="140" w:after="240" w:line="288" w:lineRule="auto"/>
        <w:ind w:left="0" w:right="0"/>
        <w:jc w:val="left"/>
      </w:pPr>
      <w:r>
        <w:rPr>
          <w:rFonts w:ascii="Arial" w:hAnsi="Arial" w:eastAsia="Arial" w:cs="Arial"/>
          <w:color w:val="000000"/>
          <w:sz w:val="20"/>
          <w:szCs w:val="20"/>
        </w:rPr>
        <w:t xml:space="preserve">Y Holding Gmbh verpflichtet sich, keine direkten oder indirekten
Kontakte zur X Gmbh, ihren gesetzlichen oder statuarischen
Vertretern, ihren Mitarbeitern oder ihren sonstigen Repräsentanten
zu suchen oder herzustellen, soweit keine vorherige schriftliche
Zustimmung durch X Holding AG vorliegt.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Haftung</w:t>
      </w:r>
    </w:p>
    <w:p>
      <w:pPr>
        <w:widowControl w:val="on"/>
        <w:pBdr/>
        <w:spacing w:before="140" w:after="240" w:line="288" w:lineRule="auto"/>
        <w:ind w:left="0" w:right="0"/>
        <w:jc w:val="left"/>
      </w:pPr>
      <w:r>
        <w:rPr>
          <w:rFonts w:ascii="Arial" w:hAnsi="Arial" w:eastAsia="Arial" w:cs="Arial"/>
          <w:color w:val="000000"/>
          <w:sz w:val="20"/>
          <w:szCs w:val="20"/>
        </w:rPr>
        <w:t xml:space="preserve">X Holding AG und die X Gmbh schließen jede Haftung und
Gewährleistung für die Vollständigkeit und Richtigkeit von Daten,
die Y Holding Gmbh zugänglich gemacht werden, aus. Ausgenommen sind
Fälle des Vorsatzes. X Holding AG und die X Gmbh übernehmen keine
Haftung für die Folgen einer unberechtigten Weitergabe von
Informationen durch Y Holding Gmbh.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Konventionalstrafe</w:t>
      </w:r>
    </w:p>
    <w:p>
      <w:pPr>
        <w:widowControl w:val="on"/>
        <w:pBdr/>
        <w:spacing w:before="140" w:after="240" w:line="288" w:lineRule="auto"/>
        <w:ind w:left="0" w:right="0"/>
        <w:jc w:val="left"/>
      </w:pPr>
      <w:r>
        <w:rPr>
          <w:rFonts w:ascii="Arial" w:hAnsi="Arial" w:eastAsia="Arial" w:cs="Arial"/>
          <w:color w:val="000000"/>
          <w:sz w:val="20"/>
          <w:szCs w:val="20"/>
        </w:rPr>
        <w:t xml:space="preserve">Die Y Holding Gmbh verpflichtet sich, der X Holding AG eine
verschuldens- und schadensunabhängige Vertragsstrafe in der Höhe
von EUR ... für jeden Verstoß gegen diese
Vertraulichkeitsvereinbarung zu bezahlen.</w:t>
      </w:r>
    </w:p>
    <w:p>
      <w:pPr>
        <w:widowControl w:val="on"/>
        <w:pBdr/>
        <w:spacing w:before="140" w:after="240" w:line="288" w:lineRule="auto"/>
        <w:ind w:left="0" w:right="0"/>
        <w:jc w:val="left"/>
      </w:pPr>
      <w:r>
        <w:rPr>
          <w:rFonts w:ascii="Arial" w:hAnsi="Arial" w:eastAsia="Arial" w:cs="Arial"/>
          <w:color w:val="000000"/>
          <w:sz w:val="20"/>
          <w:szCs w:val="20"/>
        </w:rPr>
        <w:t xml:space="preserve">Sofern die Verletzung dieser Geheimhaltungserklärung eine
dauernde Verletzung darstellt, verpflichtet sich die Y Holding
Gmbh, der X Holding AG eine verschuldens- und schadensunabhängige
Vertragsstrafe in der Höhe von EUR … pro Tag zu bezahlen. Die
Vertragsstrafe für eine dauernde Verletzung ist mit einem
Höchstbetrag von EUR … begrenzt.</w:t>
      </w:r>
    </w:p>
    <w:p>
      <w:pPr>
        <w:widowControl w:val="on"/>
        <w:pBdr/>
        <w:spacing w:before="140" w:after="240" w:line="288" w:lineRule="auto"/>
        <w:ind w:left="0" w:right="0"/>
        <w:jc w:val="left"/>
      </w:pPr>
      <w:r>
        <w:rPr>
          <w:rFonts w:ascii="Arial" w:hAnsi="Arial" w:eastAsia="Arial" w:cs="Arial"/>
          <w:color w:val="000000"/>
          <w:sz w:val="20"/>
          <w:szCs w:val="20"/>
        </w:rPr>
        <w:t xml:space="preserve">Im Fall einer andauernden Verletzung dieser
Geheimhaltungserklärung obliegt es dem freien Ermessen der X
Holding AG entweder eine Vertragsstrafe nach dem ersten Absatz
dieser Bestimmung oder auf Basis einer täglichen
Berechnungsgrundlage zu verlangen.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Geltungsdauer</w:t>
      </w:r>
    </w:p>
    <w:p>
      <w:pPr>
        <w:widowControl w:val="on"/>
        <w:pBdr/>
        <w:spacing w:before="140" w:after="240" w:line="288" w:lineRule="auto"/>
        <w:ind w:left="0" w:right="0"/>
        <w:jc w:val="left"/>
      </w:pPr>
      <w:r>
        <w:rPr>
          <w:rFonts w:ascii="Arial" w:hAnsi="Arial" w:eastAsia="Arial" w:cs="Arial"/>
          <w:color w:val="000000"/>
          <w:sz w:val="20"/>
          <w:szCs w:val="20"/>
        </w:rPr>
        <w:t xml:space="preserve">Sämtliche Verpflichtungen aus dieser Geheimhaltungsvereinbarung
gelten für einen Zeitraum von zwei Jahren ab Abschluss dieser
Vertraulichkeitsvereinbarung oder bis zur ausdrücklichen
schriftlichen Entbindung von der Vertraulichkeitsverpflichtung
durch X Holding AG und die X Gmbh.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Schlussbestimmungen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Änderungen und Ergänzungen dieser Vertraulichkeitsvereinbarung
bedürfen zu ihrer Wirksamkeit der Schriftform; dies gilt auch für
ein Abgehen von der Schriftform. Mündliche Nebenabreden bestehen
nicht.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Geheimhaltungserklärung enthält sämtliche Abreden im
Zusammenhang mit der Geheimhaltung der vertraulichen Informationen
und ersetzt sämtliche allenfalls bestehende Vereinbarungen
hierzu.</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Änderungen und Ergänzungen dieser Geheimhaltungserklärung
bedürfen zu ihrer Wirksamkeit der Schriftform und der schriftlichen
Bestätigung durch X Holding AG.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eine Bestimmung dieser Vertraulichkeitsvereinbarung ganz
oder teilweise unwirksam oder undurchführbar sein, beeinträchtigt
dies die Wirksamkeit oder Durchführbarkeit der übrigen Bestimmungen
nicht. Die unwirksame oder undurchführbare Bestimmung wird durch
eine wirksame oder durchführbare Bestimmung ersetzt, die in ihrem
wirtschaftlichen Gehalt der unwirksamen oder undurchführbaren
Bestimmung möglichst nahe kommt; dasselbe gilt entsprechend
allfälliger Lücken in dieser Vereinbarung.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in dieser Vertraulichkeitserklärung verwendeten
Überschriften dienen nur zur Zweckmäßigkeit und sind bei der
Auslegung nicht zu berücksichtigen.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Ausschließlicher Gerichtsstand für alle Streitigkeiten aufgrund
und im Zusammenhang mit dieser Vertraulichkeitsvereinbarung ist das
für Handelssachen zuständige Gericht in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Vereinbarung unterliegt österreichischem Recht mit Ausnahme
der Verweisungsnormen.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(Unterfertigung der Vertragsparteien)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4668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2946674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5124559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333243">
    <w:multiLevelType w:val="hybridMultilevel"/>
    <w:lvl w:ilvl="0" w:tplc="73692719">
      <w:start w:val="1"/>
      <w:numFmt w:val="decimal"/>
      <w:lvlText w:val="%1."/>
      <w:lvlJc w:val="left"/>
      <w:pPr>
        <w:ind w:left="720" w:hanging="360"/>
      </w:pPr>
    </w:lvl>
    <w:lvl w:ilvl="1" w:tplc="73692719" w:tentative="1">
      <w:start w:val="1"/>
      <w:numFmt w:val="lowerLetter"/>
      <w:lvlText w:val="%2."/>
      <w:lvlJc w:val="left"/>
      <w:pPr>
        <w:ind w:left="1440" w:hanging="360"/>
      </w:pPr>
    </w:lvl>
    <w:lvl w:ilvl="2" w:tplc="73692719" w:tentative="1">
      <w:start w:val="1"/>
      <w:numFmt w:val="lowerRoman"/>
      <w:lvlText w:val="%3."/>
      <w:lvlJc w:val="right"/>
      <w:pPr>
        <w:ind w:left="2160" w:hanging="180"/>
      </w:pPr>
    </w:lvl>
    <w:lvl w:ilvl="3" w:tplc="73692719" w:tentative="1">
      <w:start w:val="1"/>
      <w:numFmt w:val="decimal"/>
      <w:lvlText w:val="%4."/>
      <w:lvlJc w:val="left"/>
      <w:pPr>
        <w:ind w:left="2880" w:hanging="360"/>
      </w:pPr>
    </w:lvl>
    <w:lvl w:ilvl="4" w:tplc="73692719" w:tentative="1">
      <w:start w:val="1"/>
      <w:numFmt w:val="lowerLetter"/>
      <w:lvlText w:val="%5."/>
      <w:lvlJc w:val="left"/>
      <w:pPr>
        <w:ind w:left="3600" w:hanging="360"/>
      </w:pPr>
    </w:lvl>
    <w:lvl w:ilvl="5" w:tplc="73692719" w:tentative="1">
      <w:start w:val="1"/>
      <w:numFmt w:val="lowerRoman"/>
      <w:lvlText w:val="%6."/>
      <w:lvlJc w:val="right"/>
      <w:pPr>
        <w:ind w:left="4320" w:hanging="180"/>
      </w:pPr>
    </w:lvl>
    <w:lvl w:ilvl="6" w:tplc="73692719" w:tentative="1">
      <w:start w:val="1"/>
      <w:numFmt w:val="decimal"/>
      <w:lvlText w:val="%7."/>
      <w:lvlJc w:val="left"/>
      <w:pPr>
        <w:ind w:left="5040" w:hanging="360"/>
      </w:pPr>
    </w:lvl>
    <w:lvl w:ilvl="7" w:tplc="73692719" w:tentative="1">
      <w:start w:val="1"/>
      <w:numFmt w:val="lowerLetter"/>
      <w:lvlText w:val="%8."/>
      <w:lvlJc w:val="left"/>
      <w:pPr>
        <w:ind w:left="5760" w:hanging="360"/>
      </w:pPr>
    </w:lvl>
    <w:lvl w:ilvl="8" w:tplc="73692719" w:tentative="1">
      <w:start w:val="1"/>
      <w:numFmt w:val="lowerRoman"/>
      <w:lvlText w:val="%9."/>
      <w:lvlJc w:val="right"/>
      <w:pPr>
        <w:ind w:left="6480" w:hanging="180"/>
      </w:pPr>
    </w:lvl>
  </w:abstractNum>
  <w:abstractNum w:abstractNumId="31333242">
    <w:multiLevelType w:val="hybridMultilevel"/>
    <w:lvl w:ilvl="0" w:tplc="92681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33242">
    <w:abstractNumId w:val="31333242"/>
  </w:num>
  <w:num w:numId="31333243">
    <w:abstractNumId w:val="31333243"/>
  </w:num>
  <w:num w:numId="651245593">
    <w:abstractNumId w:val="651245593"/>
  </w:num>
  <w:num w:numId="929466740">
    <w:abstractNumId w:val="929466740"/>
  </w:num>
  <w:num w:numId="942466878">
    <w:abstractNumId w:val="9424668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91817058" Type="http://schemas.openxmlformats.org/officeDocument/2006/relationships/numbering" Target="numbering.xml"/><Relationship Id="rId43073004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