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2490195" w:name="document"/>
    <w:bookmarkEnd w:id="12490195"/>
    <w:p/>
    <w:p>
      <w:pPr>
        <w:widowControl w:val="on"/>
        <w:pBdr/>
        <w:spacing w:before="0" w:after="280" w:line="240" w:lineRule="auto"/>
        <w:ind w:left="0" w:right="0"/>
        <w:jc w:val="left"/>
      </w:pPr>
      <w:r>
        <w:rPr>
          <w:rFonts w:ascii="Arial" w:hAnsi="Arial" w:eastAsia="Arial" w:cs="Arial"/>
          <w:color w:val="363A40"/>
          <w:sz w:val="24"/>
          <w:szCs w:val="24"/>
        </w:rPr>
        <w:t xml:space="preserve">Dokument-ID: 475182 | Georg Streit - Stanislava
Doganova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Gesellschaftsvertrag typische Stille Gesellschaft (einfach) –
Variante: Mitarbeiterbeteiligung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Vertrag über die Errichtung einer
Stillen Gesellschaft iSd §§ 179 ff UGB</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numPr>
          <w:ilvl w:val="0"/>
          <w:numId w:val="9342273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Schallträger Dieter Schall &amp; Co OG</w:t>
      </w:r>
      <w:r>
        <w:rPr>
          <w:rFonts w:ascii="Arial" w:hAnsi="Arial" w:eastAsia="Arial" w:cs="Arial"/>
          <w:color w:val="000000"/>
          <w:sz w:val="20"/>
          <w:szCs w:val="20"/>
        </w:rPr>
        <w:br/>
        <w:t xml:space="preserve">die für Zustellungen maßgebliche Geschäftsanschrift:</w:t>
      </w:r>
      <w:r>
        <w:rPr>
          <w:rFonts w:ascii="Arial" w:hAnsi="Arial" w:eastAsia="Arial" w:cs="Arial"/>
          <w:color w:val="000000"/>
          <w:sz w:val="20"/>
          <w:szCs w:val="20"/>
        </w:rPr>
        <w:br/>
        <w:t xml:space="preserve">Brucknerstraße 400, 1040 Wien,</w:t>
      </w:r>
      <w:r>
        <w:rPr>
          <w:rFonts w:ascii="Arial" w:hAnsi="Arial" w:eastAsia="Arial" w:cs="Arial"/>
          <w:color w:val="000000"/>
          <w:sz w:val="20"/>
          <w:szCs w:val="20"/>
        </w:rPr>
        <w:br/>
        <w:t xml:space="preserve">im Folgenden kurz „Unternehmensinhaberin“ genannt</w:t>
      </w:r>
      <w:r>
        <w:rPr>
          <w:rFonts w:ascii="Arial" w:hAnsi="Arial" w:eastAsia="Arial" w:cs="Arial"/>
          <w:color w:val="000000"/>
          <w:sz w:val="20"/>
          <w:szCs w:val="20"/>
        </w:rPr>
        <w:br/>
        <w:t xml:space="preserve">und</w:t>
      </w:r>
    </w:p>
    <w:p>
      <w:pPr>
        <w:numPr>
          <w:ilvl w:val="0"/>
          <w:numId w:val="9342273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Leopold Locker, geb …</w:t>
      </w:r>
      <w:r>
        <w:rPr>
          <w:rFonts w:ascii="Arial" w:hAnsi="Arial" w:eastAsia="Arial" w:cs="Arial"/>
          <w:color w:val="000000"/>
          <w:sz w:val="20"/>
          <w:szCs w:val="20"/>
        </w:rPr>
        <w:br/>
        <w:t xml:space="preserve">…</w:t>
      </w:r>
      <w:r>
        <w:rPr>
          <w:rFonts w:ascii="Arial" w:hAnsi="Arial" w:eastAsia="Arial" w:cs="Arial"/>
          <w:color w:val="000000"/>
          <w:sz w:val="20"/>
          <w:szCs w:val="20"/>
        </w:rPr>
        <w:br/>
        <w:t xml:space="preserve">im Folgenden kurz „stiller Gesellschafter“ genannt,</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Inhaltsverzeichnis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780"/>
        <w:gridCol w:w="11310"/>
      </w:tblGrid>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Vertragsparteien</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Begründung der Gesellschaft</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Dauer der Gesellschaft</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IV.</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Geschäftsjahr</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 des stillen Gesellschafters</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Geschäftsführung</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Kontroll- und Überwachungsrechte</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VIII.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Gewinnbeteiligung</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IX.</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Auflösung der Gesellschaft</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Auseinandersetzung</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Allfällige Unwirksamkeit einzelner Vertragsbestimmungen</w:t>
            </w:r>
          </w:p>
        </w:tc>
      </w:tr>
      <w:tr>
        <w:trPr>
          <w:trHeight w:val="0" w:hRule="atLeast"/>
        </w:trPr>
        <w:tc>
          <w:tcPr>
            <w:tcW w:w="78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XII.</w:t>
            </w:r>
          </w:p>
        </w:tc>
        <w:tc>
          <w:tcPr>
            <w:tcW w:w="11310" w:type="dxa"/>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Sonstiges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Vertragspartner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Vertragspartner sind die im Firmenbuch beim Handeslgericht Wien
unter FN … eingetragene Schallträger Dieter Schall &amp; Co OG mit
dem Sitz in Wien, vertreten durch ihren persönlich haftenden
Gesellschafter, … [Name, Geburtsdatum, die für Zustellungen
maßgebliche Geschäftsanschrift] als Unternehmensinhaberin und Herr
Leopold Locker, … [Geburtsdatum, die für Zustellungen maßgebliche
Geschäftsanschrift], als stiller Gesellschafter.</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Begründung der Gesellschaft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Unternehmensinhaberin ist Inhaberin des in … [die für
Zustellungen maßgebliche Geschäftsanschrift] betriebenen
Unternehmens mit dem Gewerbe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diesem Unternehmen beteiligt sich nunmehr Herr Leopold Locker
als stiller Gesellschafter, ohne dadurch am Gesellschaftsvermögen
beteiligt zu sein, nach näherer Maßgabe der nachfolgenden
Bestimmungen.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Dauer der Gesellschaft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Stille Gesellschaft hat am … [Datum] begonnen und wird mit
… [Datum] befristet.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zeitliche Befristung des Gesellschaftsverhältnisses
erfolgt ausschließlich zu dem Zweck, im Unternehmen der
Geschäftsinhaberin ein leistungsbezogenes Entgeltsystem – bei
welchem eine Mitarbeiterbeteiligung integrierender Bestandteil ist
– einzuführen. Es entspricht jedenfalls dem ausdrücklichen Wunsch
der Geschäftsinhaberin, auch nach Ablauf des gegenständlichen
Gesellschaftsverhältnisses des stillen Gesellschafters eine
attraktive Mitarbeiterbeteiligung anzubieten.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Vorliegen eines wichtigen Grundes kann die Kündigung bzw die
Auflösung der Gesellschaft ohne Fristeinhaltung erfolgen. Als
wichtige Gründe gelten insbesondere die Beendigung des zwischen der
Geschäftsinhaberin und dem stillen Gesellschafter abgeschlossenen
Dienstverhältnisses – gleich aus welchem Grunde.</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Geschäftsjahr</w:t>
      </w:r>
    </w:p>
    <w:p>
      <w:pPr>
        <w:widowControl w:val="on"/>
        <w:pBdr/>
        <w:spacing w:before="140" w:after="240" w:line="288" w:lineRule="auto"/>
        <w:ind w:left="0" w:right="0"/>
        <w:jc w:val="left"/>
      </w:pPr>
      <w:r>
        <w:rPr>
          <w:rFonts w:ascii="Arial" w:hAnsi="Arial" w:eastAsia="Arial" w:cs="Arial"/>
          <w:color w:val="000000"/>
          <w:sz w:val="20"/>
          <w:szCs w:val="20"/>
        </w:rPr>
        <w:t xml:space="preserve">Das Geschäftsjahr der Stillen Gesellschaft entspricht dem der
Geschäftsinhaberin.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Einlage des stillen
Gesellschafters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stille Gesellschafter leistet eine Vermögenseinlage von
EUR … [Betrag] (in Worten: … [Betrag] Euro). Diese geht in das
Vermögen der Geschäftsinhaberin über.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Einlage des stillen Gesellschafters wird auf einem
Einlagenkonto verbucht. Dieses Einlagekonto wird mit 6,5 vH
kontokorrentmäßig verzinst.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Die Geschäftsführung steht allein der Inhaberin zu.</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Kontroll- und
Überwachungsrechte</w:t>
      </w:r>
    </w:p>
    <w:p>
      <w:pPr>
        <w:widowControl w:val="on"/>
        <w:pBdr/>
        <w:spacing w:before="140" w:after="240" w:line="288" w:lineRule="auto"/>
        <w:ind w:left="0" w:right="0"/>
        <w:jc w:val="left"/>
      </w:pPr>
      <w:r>
        <w:rPr>
          <w:rFonts w:ascii="Arial" w:hAnsi="Arial" w:eastAsia="Arial" w:cs="Arial"/>
          <w:color w:val="000000"/>
          <w:sz w:val="20"/>
          <w:szCs w:val="20"/>
        </w:rPr>
        <w:t xml:space="preserve">Der stille Gesellschafter ist berechtigt, eine abschriftliche
Mitteilung des Jahresabschlusses in jenem Umfang zu verlangen, wie
eine Offenlegung gegenüber dem Betriebsstättenfinanzamt
besteht.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Gewinnbeteiligung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stille Gesellschafter ist mit 5 % am Gewinn der
Geschäftsinhaberin – mindestens jedoch mit einem jährlichen
Pauschalbetrag von EUR … [Betrag] beteiligt.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Berechnungsbasis für den Gewinn des Stillen ist das steuerliche
Ergebnis, das nach den Grundsätzen des § 4 Abs 3 EStG
(Einnahmen-Ausgaben-Rechnung) ermittelt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stille Gesellschafter ist berechtigt, spätestens innerhalb
eines Monats nach Aufstellung des Jahresabschlusses der
Geschäftsinhaberin über den Betrag, welcher seiner Beteiligung am
Ergebnis des abgelaufenen Geschäftsjahres entspricht, zu
verfügen.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Inhaberin ist berechtigt, das Guthaben des stillen
Gesellschafters auf seinem variablen Gesellschaftskonto ganz oder
teilweise auszuzahlen.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allfälligen Verlusten der Geschäftsinhaberin nimmt der stille
Gesellschafter nicht teil.</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Auflösung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wird aufgelöst durch:</w:t>
      </w:r>
    </w:p>
    <w:p>
      <w:pPr>
        <w:numPr>
          <w:ilvl w:val="0"/>
          <w:numId w:val="2829877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Fristablauf</w:t>
      </w:r>
    </w:p>
    <w:p>
      <w:pPr>
        <w:numPr>
          <w:ilvl w:val="0"/>
          <w:numId w:val="2829877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Liquidation</w:t>
      </w:r>
    </w:p>
    <w:p>
      <w:pPr>
        <w:numPr>
          <w:ilvl w:val="0"/>
          <w:numId w:val="2829877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Zusammenschluss nach Art IV UmgrStG der „Bauer Interactive
KEG“ als Geschäftsinhaberin mit einer anderen
Personengesellschaft</w:t>
      </w:r>
    </w:p>
    <w:p>
      <w:pPr>
        <w:numPr>
          <w:ilvl w:val="0"/>
          <w:numId w:val="2829877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Kündigung eines Gläubigers des stillen Gesellschafters, der die
Pfändung und Überweisung des Auseinandersetzungsguthabens des
stillen Gesellschafters erwirkt hat</w:t>
      </w:r>
    </w:p>
    <w:p>
      <w:pPr>
        <w:numPr>
          <w:ilvl w:val="0"/>
          <w:numId w:val="2829877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Konkurs über das Vermögen des stillen Gesellschafters</w:t>
      </w:r>
    </w:p>
    <w:p>
      <w:pPr>
        <w:numPr>
          <w:ilvl w:val="0"/>
          <w:numId w:val="2829877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Beendigung des Dienstverhältnisses zwischen der „Bauer
Interactive KEG“ und dem stillen Gesellschafter, sofern die
Vertragsparteien nicht einvernehmlich etwas Gegenteiliges
beschließen</w:t>
      </w:r>
    </w:p>
    <w:p>
      <w:pPr>
        <w:numPr>
          <w:ilvl w:val="0"/>
          <w:numId w:val="2829877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Einvernehmliche Beendigung des Gesellschaftsverhältnisses</w:t>
      </w:r>
    </w:p>
    <w:p>
      <w:pPr>
        <w:numPr>
          <w:ilvl w:val="0"/>
          <w:numId w:val="2829877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Konkurs der Gesellschaft der Geschäftsinhaberin</w:t>
      </w:r>
    </w:p>
    <w:p>
      <w:pPr>
        <w:numPr>
          <w:ilvl w:val="0"/>
          <w:numId w:val="2829877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Ableben des stillen Gesellschafters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Auseinandersetzung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der Auflösung der Gesellschaft ist dem stillen
Gesellschafter innerhalb von drei Monaten die Einlage in der
bezahlten Höhe zuzüglich der bisher angelaufenen und noch nicht
ausbezahlten Zinsen – vorbehaltlich allfälliger Gegenforderungen,
Zessionen und Vinkulierungen – zurückzuerstatten.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Wird die Stille Gesellschaft während des Geschäftsjahres – aus
welchen Gründen auch immer – aufgelöst, wird die
Bemessungsgrundlage für die Ergebniszuweisung nach Monaten
berechnet.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Allfällige Unwirksamkeit
einzelner Vertragsbestimmungen</w:t>
      </w:r>
    </w:p>
    <w:p>
      <w:pPr>
        <w:widowControl w:val="on"/>
        <w:pBdr/>
        <w:spacing w:before="140" w:after="240" w:line="288" w:lineRule="auto"/>
        <w:ind w:left="0" w:right="0"/>
        <w:jc w:val="left"/>
      </w:pPr>
      <w:r>
        <w:rPr>
          <w:rFonts w:ascii="Arial" w:hAnsi="Arial" w:eastAsia="Arial" w:cs="Arial"/>
          <w:color w:val="000000"/>
          <w:sz w:val="20"/>
          <w:szCs w:val="20"/>
        </w:rPr>
        <w:t xml:space="preserve">Sollten einzelne Bestimmungen dieses Vertrages unwirksam sein
oder werden, so wird dadurch die Gültigkeit dieses Vertrages nicht
berührt. Die Geschäftsinhaberin und der stille Gesellschafter
verpflichten sich, die unwirksamen Bestimmungen in diesem Fall
durch wirksame zu ersetzen, die dem wirtschaftlichen Zweck der
ungültigen Bestimmungen am nächsten kommen.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Sonstige 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Kosten und Gebühren, die mit der Errichtung dieses
Vertrages zusammenhängen, trägt die Geschäftsinhaberin.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Änderungen und Ergänzungen dieses Vertrages können nur
schriftlich wirksam vorgenommen werden. Eine Befreiung von diesem
Formerfordernis bedarf ebenfalls der Schriftform. Diesen Vertrag
ergänzende mündliche Nebenabreden bestehen nicht.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Original dieses Vertrages verbleibt bei der
Geschäftsinhaberin. Der stille Gesellschafter erhält eine Kopie und
hat überdies das Recht, auf seine Kosten jederzeit eine beglaubigte
Abschrift anfertigen zu lassen.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Gerichtsstand für sämtliche Streitigkeiten aus diesem Vertrag
ist … [Ort], soweit dies zulässig vereinbart werden kann.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dieser Gesellschaftsvertrag nichts anderes bestimmt,
gelten die anwendbaren gesetzlichen Bestimmungen des ABGB und des
UGB.</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Jeder Vertragspartner erhält eine Ausfertigung des
Vertrages.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Kosten des Vertragsabschlusses trägt die
Unternehmensinhaberin. Allfällige Kosten der eigenen Rechtsberatung
trägt jeder Vertragspartner selbst.</w:t>
            </w:r>
          </w:p>
        </w:tc>
      </w:tr>
    </w:tbl>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[Unterschriften]</w:t>
      </w:r>
    </w:p>
    <w:p>
      <w:pPr>
        <w:widowControl w:val="on"/>
        <w:pBdr/>
        <w:spacing w:before="140" w:after="240" w:line="288" w:lineRule="auto"/>
        <w:ind w:left="0" w:right="0"/>
        <w:jc w:val="left"/>
      </w:pPr>
      <w:r>
        <w:rPr>
          <w:rFonts w:ascii="Arial" w:hAnsi="Arial" w:eastAsia="Arial" w:cs="Arial"/>
          <w:b/>
          <w:bCs/>
          <w:color w:val="000000"/>
          <w:sz w:val="20"/>
          <w:szCs w:val="20"/>
        </w:rPr>
        <w:t xml:space="preserve">Beilagen:</w:t>
      </w:r>
    </w:p>
    <w:p>
      <w:pPr>
        <w:numPr>
          <w:ilvl w:val="0"/>
          <w:numId w:val="2070156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128668" w:name="note1"/>
            <w:bookmarkEnd w:id="99128668"/>
            <w:bookmarkStart w:id="7931664235931" w:name="note1"/>
            <w:r>
              <w:rPr>
                <w:rFonts w:ascii="Arial" w:hAnsi="Arial" w:eastAsia="Arial" w:cs="Arial"/>
                <w:b/>
                <w:bCs/>
                <w:color w:val="000000"/>
                <w:position w:val="0"/>
                <w:sz w:val="20"/>
                <w:szCs w:val="20"/>
              </w:rPr>
              <w:t xml:space="preserve">[1]</w:t>
            </w:r>
            <w:bookmarkEnd w:id="793166423593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über den Unternehmensinhaber oder über den stillen
Gesellschafter der Konkurs eröffnet, so hat dies nach § 185
Abs 2 UGB zwingend die Auflösung der (auch atypisch) stillen
Gesellschaft zur Folge (vgl </w:t>
            </w:r>
            <w:r>
              <w:rPr>
                <w:rFonts w:ascii="Arial" w:hAnsi="Arial" w:eastAsia="Arial" w:cs="Arial"/>
                <w:i/>
                <w:iCs/>
                <w:color w:val="000000"/>
                <w:position w:val="0"/>
                <w:sz w:val="20"/>
                <w:szCs w:val="20"/>
              </w:rPr>
              <w:t xml:space="preserve">Hochedlinger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Jabornegg/Artmann</w:t>
            </w:r>
            <w:r>
              <w:rPr>
                <w:rFonts w:ascii="Arial" w:hAnsi="Arial" w:eastAsia="Arial" w:cs="Arial"/>
                <w:color w:val="000000"/>
                <w:position w:val="0"/>
                <w:sz w:val="20"/>
                <w:szCs w:val="20"/>
              </w:rPr>
              <w:t xml:space="preserve">, UGB</w:t>
            </w:r>
            <w:r>
              <w:rPr>
                <w:rFonts w:ascii="Arial" w:hAnsi="Arial" w:eastAsia="Arial" w:cs="Arial"/>
                <w:color w:val="000000"/>
                <w:position w:val="3"/>
                <w:sz w:val="18"/>
                <w:szCs w:val="18"/>
                <w:vertAlign w:val="superscript"/>
              </w:rPr>
              <w:t xml:space="preserve">2</w:t>
            </w:r>
            <w:r>
              <w:rPr>
                <w:rFonts w:ascii="Arial" w:hAnsi="Arial" w:eastAsia="Arial" w:cs="Arial"/>
                <w:color w:val="000000"/>
                <w:position w:val="0"/>
                <w:sz w:val="20"/>
                <w:szCs w:val="20"/>
              </w:rPr>
              <w:t xml:space="preserve"> §§ 184, 185
Rz 13) (VwGH 26.02.2020, Ra 2018/13/0103).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Vorliegen eines Auflösungsgrundes endet die stille
Gesellschaft ohne Abwicklung (vgl zB VwGH 26.2.2013, 2010/15/0017;
22.11.2012, 2010/15/0026 mwN). Die Vollbeendigung der stillen
Gesellschaft tritt damit bereits mit dem Wirksamwerden der
Auflösung ein (VwGH 26.02.2020, Ra 2018/13/0103).</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01564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8298773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422734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5075354">
    <w:multiLevelType w:val="hybridMultilevel"/>
    <w:lvl w:ilvl="0" w:tplc="71324888">
      <w:start w:val="1"/>
      <w:numFmt w:val="decimal"/>
      <w:lvlText w:val="%1."/>
      <w:lvlJc w:val="left"/>
      <w:pPr>
        <w:ind w:left="720" w:hanging="360"/>
      </w:pPr>
    </w:lvl>
    <w:lvl w:ilvl="1" w:tplc="71324888" w:tentative="1">
      <w:start w:val="1"/>
      <w:numFmt w:val="lowerLetter"/>
      <w:lvlText w:val="%2."/>
      <w:lvlJc w:val="left"/>
      <w:pPr>
        <w:ind w:left="1440" w:hanging="360"/>
      </w:pPr>
    </w:lvl>
    <w:lvl w:ilvl="2" w:tplc="71324888" w:tentative="1">
      <w:start w:val="1"/>
      <w:numFmt w:val="lowerRoman"/>
      <w:lvlText w:val="%3."/>
      <w:lvlJc w:val="right"/>
      <w:pPr>
        <w:ind w:left="2160" w:hanging="180"/>
      </w:pPr>
    </w:lvl>
    <w:lvl w:ilvl="3" w:tplc="71324888" w:tentative="1">
      <w:start w:val="1"/>
      <w:numFmt w:val="decimal"/>
      <w:lvlText w:val="%4."/>
      <w:lvlJc w:val="left"/>
      <w:pPr>
        <w:ind w:left="2880" w:hanging="360"/>
      </w:pPr>
    </w:lvl>
    <w:lvl w:ilvl="4" w:tplc="71324888" w:tentative="1">
      <w:start w:val="1"/>
      <w:numFmt w:val="lowerLetter"/>
      <w:lvlText w:val="%5."/>
      <w:lvlJc w:val="left"/>
      <w:pPr>
        <w:ind w:left="3600" w:hanging="360"/>
      </w:pPr>
    </w:lvl>
    <w:lvl w:ilvl="5" w:tplc="71324888" w:tentative="1">
      <w:start w:val="1"/>
      <w:numFmt w:val="lowerRoman"/>
      <w:lvlText w:val="%6."/>
      <w:lvlJc w:val="right"/>
      <w:pPr>
        <w:ind w:left="4320" w:hanging="180"/>
      </w:pPr>
    </w:lvl>
    <w:lvl w:ilvl="6" w:tplc="71324888" w:tentative="1">
      <w:start w:val="1"/>
      <w:numFmt w:val="decimal"/>
      <w:lvlText w:val="%7."/>
      <w:lvlJc w:val="left"/>
      <w:pPr>
        <w:ind w:left="5040" w:hanging="360"/>
      </w:pPr>
    </w:lvl>
    <w:lvl w:ilvl="7" w:tplc="71324888" w:tentative="1">
      <w:start w:val="1"/>
      <w:numFmt w:val="lowerLetter"/>
      <w:lvlText w:val="%8."/>
      <w:lvlJc w:val="left"/>
      <w:pPr>
        <w:ind w:left="5760" w:hanging="360"/>
      </w:pPr>
    </w:lvl>
    <w:lvl w:ilvl="8" w:tplc="71324888" w:tentative="1">
      <w:start w:val="1"/>
      <w:numFmt w:val="lowerRoman"/>
      <w:lvlText w:val="%9."/>
      <w:lvlJc w:val="right"/>
      <w:pPr>
        <w:ind w:left="6480" w:hanging="180"/>
      </w:pPr>
    </w:lvl>
  </w:abstractNum>
  <w:abstractNum w:abstractNumId="14994868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072282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5075353">
    <w:multiLevelType w:val="hybridMultilevel"/>
    <w:lvl w:ilvl="0" w:tplc="28604754">
      <w:start w:val="1"/>
      <w:numFmt w:val="decimal"/>
      <w:lvlText w:val="%1."/>
      <w:lvlJc w:val="left"/>
      <w:pPr>
        <w:ind w:left="720" w:hanging="360"/>
      </w:pPr>
    </w:lvl>
    <w:lvl w:ilvl="1" w:tplc="28604754" w:tentative="1">
      <w:start w:val="1"/>
      <w:numFmt w:val="lowerLetter"/>
      <w:lvlText w:val="%2."/>
      <w:lvlJc w:val="left"/>
      <w:pPr>
        <w:ind w:left="1440" w:hanging="360"/>
      </w:pPr>
    </w:lvl>
    <w:lvl w:ilvl="2" w:tplc="28604754" w:tentative="1">
      <w:start w:val="1"/>
      <w:numFmt w:val="lowerRoman"/>
      <w:lvlText w:val="%3."/>
      <w:lvlJc w:val="right"/>
      <w:pPr>
        <w:ind w:left="2160" w:hanging="180"/>
      </w:pPr>
    </w:lvl>
    <w:lvl w:ilvl="3" w:tplc="28604754" w:tentative="1">
      <w:start w:val="1"/>
      <w:numFmt w:val="decimal"/>
      <w:lvlText w:val="%4."/>
      <w:lvlJc w:val="left"/>
      <w:pPr>
        <w:ind w:left="2880" w:hanging="360"/>
      </w:pPr>
    </w:lvl>
    <w:lvl w:ilvl="4" w:tplc="28604754" w:tentative="1">
      <w:start w:val="1"/>
      <w:numFmt w:val="lowerLetter"/>
      <w:lvlText w:val="%5."/>
      <w:lvlJc w:val="left"/>
      <w:pPr>
        <w:ind w:left="3600" w:hanging="360"/>
      </w:pPr>
    </w:lvl>
    <w:lvl w:ilvl="5" w:tplc="28604754" w:tentative="1">
      <w:start w:val="1"/>
      <w:numFmt w:val="lowerRoman"/>
      <w:lvlText w:val="%6."/>
      <w:lvlJc w:val="right"/>
      <w:pPr>
        <w:ind w:left="4320" w:hanging="180"/>
      </w:pPr>
    </w:lvl>
    <w:lvl w:ilvl="6" w:tplc="28604754" w:tentative="1">
      <w:start w:val="1"/>
      <w:numFmt w:val="decimal"/>
      <w:lvlText w:val="%7."/>
      <w:lvlJc w:val="left"/>
      <w:pPr>
        <w:ind w:left="5040" w:hanging="360"/>
      </w:pPr>
    </w:lvl>
    <w:lvl w:ilvl="7" w:tplc="28604754" w:tentative="1">
      <w:start w:val="1"/>
      <w:numFmt w:val="lowerLetter"/>
      <w:lvlText w:val="%8."/>
      <w:lvlJc w:val="left"/>
      <w:pPr>
        <w:ind w:left="5760" w:hanging="360"/>
      </w:pPr>
    </w:lvl>
    <w:lvl w:ilvl="8" w:tplc="28604754" w:tentative="1">
      <w:start w:val="1"/>
      <w:numFmt w:val="lowerRoman"/>
      <w:lvlText w:val="%9."/>
      <w:lvlJc w:val="right"/>
      <w:pPr>
        <w:ind w:left="6480" w:hanging="180"/>
      </w:pPr>
    </w:lvl>
  </w:abstractNum>
  <w:abstractNum w:abstractNumId="75075352">
    <w:multiLevelType w:val="hybridMultilevel"/>
    <w:lvl w:ilvl="0" w:tplc="34270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75352">
    <w:abstractNumId w:val="75075352"/>
  </w:num>
  <w:num w:numId="75075353">
    <w:abstractNumId w:val="75075353"/>
  </w:num>
  <w:num w:numId="810722825">
    <w:abstractNumId w:val="810722825"/>
  </w:num>
  <w:num w:numId="149948687">
    <w:abstractNumId w:val="149948687"/>
  </w:num>
  <w:num w:numId="75075354">
    <w:abstractNumId w:val="75075354"/>
  </w:num>
  <w:num w:numId="934227347">
    <w:abstractNumId w:val="934227347"/>
  </w:num>
  <w:num w:numId="282987735">
    <w:abstractNumId w:val="282987735"/>
  </w:num>
  <w:num w:numId="207015649">
    <w:abstractNumId w:val="207015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25285982" Type="http://schemas.openxmlformats.org/officeDocument/2006/relationships/numbering" Target="numbering.xml"/><Relationship Id="rId16384314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